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Pr="00C205EB" w:rsidRDefault="00851850" w:rsidP="00010654">
      <w:pPr>
        <w:rPr>
          <w:rFonts w:ascii="Nirmala UI" w:hAnsi="Nirmala UI" w:cs="Nirmala UI"/>
          <w:b/>
        </w:rPr>
      </w:pPr>
      <w:r w:rsidRPr="00C205EB">
        <w:rPr>
          <w:rFonts w:ascii="Nirmala UI" w:hAnsi="Nirmala UI" w:cs="Nirmala UI"/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Pr="00C205EB" w:rsidRDefault="00851850" w:rsidP="00010654">
      <w:pPr>
        <w:rPr>
          <w:rFonts w:ascii="Nirmala UI" w:hAnsi="Nirmala UI" w:cs="Nirmala UI"/>
          <w:b/>
        </w:rPr>
      </w:pPr>
    </w:p>
    <w:p w14:paraId="561D7BB2" w14:textId="77777777" w:rsidR="002F5073" w:rsidRPr="00C205EB" w:rsidRDefault="002F5073" w:rsidP="002F5073">
      <w:pPr>
        <w:rPr>
          <w:rFonts w:ascii="Nirmala UI" w:hAnsi="Nirmala UI" w:cs="Nirmala UI"/>
          <w:b/>
        </w:rPr>
      </w:pPr>
      <w:r w:rsidRPr="00C205EB">
        <w:rPr>
          <w:rFonts w:ascii="Nirmala UI" w:hAnsi="Nirmala UI" w:cs="Nirmala UI"/>
          <w:b/>
        </w:rPr>
        <w:t>இன சமூகங்களின் டிஜிட்டல் உட்சேர்க்கை நிதி இப்போது கிடைக்கப்பெறுகின்றது.</w:t>
      </w:r>
    </w:p>
    <w:p w14:paraId="4C673E33" w14:textId="2E28FB82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இன சமூகங்களின் ஆணையம் இன சமூகங்களின் டிஜிட்டல் உட்சேர்க்கை நிதியை (நிதி) அறிமுகப்படுத்தியுள்ளது. </w:t>
      </w:r>
    </w:p>
    <w:p w14:paraId="4C673E34" w14:textId="14FBAEBE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>டிஜிட்டல் தொழில்நுட்பங்களை, நியூசிலாந்தில் வசிக்கும் இன சமூக மக்கள் தன்னம்பிக்கையுடன் பயன்படுத்தி முழு பங்குபெறும் விதத்தில் இந்த நிதி அமைக்கப்பட்டுள்ளது.</w:t>
      </w:r>
    </w:p>
    <w:p w14:paraId="4C673E35" w14:textId="77777777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>இன சமூகங்களின் நன்மைகளுக்காக பின்வருவனவற்றை உறுதிப்படுத்து இந்த நிதியின் முன்னுரிமை ஆகும்:</w:t>
      </w:r>
    </w:p>
    <w:p w14:paraId="4C673E36" w14:textId="1D256B67" w:rsidR="00010654" w:rsidRPr="00C205EB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  <w:b/>
          <w:szCs w:val="24"/>
        </w:rPr>
        <w:t>திறன்களை</w:t>
      </w:r>
      <w:r w:rsidRPr="00C205EB">
        <w:rPr>
          <w:rFonts w:ascii="Nirmala UI" w:hAnsi="Nirmala UI" w:cs="Nirmala UI"/>
        </w:rPr>
        <w:t xml:space="preserve"> க் கொண்டிருக்கவும் மற்றும் முறையான மற்றும் பயனுள்ள வகைகளில் டிஜிட்டல் தொழில்நுட்பம் மற்றும் இணையத்தைப் பயன்படுத்துவதற்கான அறிவினைக் கொண்டிருப்பது;</w:t>
      </w:r>
    </w:p>
    <w:p w14:paraId="4C673E37" w14:textId="3F96118E" w:rsidR="00010654" w:rsidRPr="00C205EB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எவ்வாறு டிஜிட்டல் தொழில்நுட்பம் உள்ள மற்றும் இணையம் தொடர்புப்படுத்தவும், கற்றல் அல்லது அணுகல் வாய்ப்புகளுக்கு எவ்வாறு உதவுகிறது என்பதை புரிந்துகொள்வதற்கு </w:t>
      </w:r>
      <w:r w:rsidRPr="00C205EB">
        <w:rPr>
          <w:rFonts w:ascii="Nirmala UI" w:hAnsi="Nirmala UI" w:cs="Nirmala UI"/>
          <w:b/>
          <w:szCs w:val="24"/>
        </w:rPr>
        <w:t>ஊக்குவிக்கப்படுகிறீர்கள்</w:t>
      </w:r>
      <w:r w:rsidRPr="00C205EB">
        <w:rPr>
          <w:rFonts w:ascii="Nirmala UI" w:hAnsi="Nirmala UI" w:cs="Nirmala UI"/>
        </w:rPr>
        <w:t>;</w:t>
      </w:r>
    </w:p>
    <w:p w14:paraId="4C673E38" w14:textId="31EA8325" w:rsidR="00010654" w:rsidRPr="00C205EB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 இணையம் மற்றும் இணைய சேவைகளை </w:t>
      </w:r>
      <w:r w:rsidRPr="00C205EB">
        <w:rPr>
          <w:rFonts w:ascii="Nirmala UI" w:hAnsi="Nirmala UI" w:cs="Nirmala UI"/>
          <w:b/>
          <w:bCs/>
        </w:rPr>
        <w:t>நம்புவது</w:t>
      </w:r>
      <w:r w:rsidRPr="00C205EB">
        <w:rPr>
          <w:rFonts w:ascii="Nirmala UI" w:hAnsi="Nirmala UI" w:cs="Nirmala UI"/>
        </w:rPr>
        <w:t xml:space="preserve"> மற்றும் தனிப்பட்டத் தகவல்களை நிர்வகிப்பதற்கான உறுதிப்பாட்டினையும் டிஜிட்டல் அறிவினையும் கொண்டிருப்பது.</w:t>
      </w:r>
    </w:p>
    <w:p w14:paraId="4C673E39" w14:textId="77777777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உங்கள் ப்ரொஜெக்ட் இந்த நிதியின் நோக்கங்களில் குறைந்த பட்சம் ஒரு நோக்கத்தையும், முன்னுரிமையையும் ஆதரிக்க வேண்டும். மேலும் இது </w:t>
      </w:r>
      <w:hyperlink r:id="rId13" w:history="1">
        <w:r w:rsidRPr="00C205EB">
          <w:rPr>
            <w:rFonts w:ascii="Nirmala UI" w:hAnsi="Nirmala UI" w:cs="Nirmala UI"/>
          </w:rPr>
          <w:t>மதிப்பீட்டுக் கட்டமைப்புடன்</w:t>
        </w:r>
      </w:hyperlink>
      <w:r w:rsidRPr="00C205EB">
        <w:rPr>
          <w:rFonts w:ascii="Nirmala UI" w:hAnsi="Nirmala UI" w:cs="Nirmala UI"/>
        </w:rPr>
        <w:t xml:space="preserve"> இணங்க வேண்டும்.</w:t>
      </w:r>
    </w:p>
    <w:p w14:paraId="4C673E3A" w14:textId="2F0CC68E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30 ஜூன் 2021 க்குள் விநியோகிக்கப்பட இருக்கும் மொத்த நிதி $ 200,000 ஆகும். </w:t>
      </w:r>
    </w:p>
    <w:p w14:paraId="1829F308" w14:textId="66D70DDF" w:rsidR="002F5073" w:rsidRPr="00C205EB" w:rsidRDefault="002F5073" w:rsidP="002F5073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நிதிக்கான விண்ணப்பத்திற்கான கடைசி நாள் </w:t>
      </w:r>
      <w:r w:rsidRPr="00C205EB">
        <w:rPr>
          <w:rFonts w:ascii="Nirmala UI" w:hAnsi="Nirmala UI" w:cs="Nirmala UI"/>
          <w:b/>
          <w:szCs w:val="24"/>
        </w:rPr>
        <w:t>புதன்கிழமை மாலை 11:59, 28 ஏப்ரல் 2021</w:t>
      </w:r>
      <w:r w:rsidRPr="00C205EB">
        <w:rPr>
          <w:rFonts w:ascii="Nirmala UI" w:hAnsi="Nirmala UI" w:cs="Nirmala UI"/>
        </w:rPr>
        <w:t xml:space="preserve">. ஒதிக்கீடு மீதான முடிவுகள் கடைசி தேதிக்கு பிறகு எடுக்கப்பட்டு ஜூன் மாதத்தில் நிதிக்கு விண்ணப்பித்தவர்களுக்கு அறிவிப்பு வழங்கப்படும். </w:t>
      </w:r>
    </w:p>
    <w:p w14:paraId="4C673E3B" w14:textId="62FBB97B" w:rsidR="00010654" w:rsidRPr="00C205EB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Nirmala UI" w:hAnsi="Nirmala UI" w:cs="Nirmala UI"/>
          <w:szCs w:val="24"/>
        </w:rPr>
      </w:pPr>
      <w:r w:rsidRPr="00C205EB">
        <w:rPr>
          <w:rFonts w:ascii="Nirmala UI" w:hAnsi="Nirmala UI" w:cs="Nirmala UI"/>
        </w:rPr>
        <w:t xml:space="preserve">மேலும் மேலும் தகவல்களுக்கும் மற்றும் விண்ணப்பிப்பதற்கும் </w:t>
      </w:r>
      <w:hyperlink r:id="rId14" w:history="1">
        <w:r w:rsidRPr="00C205EB">
          <w:rPr>
            <w:rStyle w:val="Hyperlink"/>
            <w:rFonts w:ascii="Nirmala UI" w:hAnsi="Nirmala UI" w:cs="Nirmala UI"/>
          </w:rPr>
          <w:t>இ</w:t>
        </w:r>
        <w:bookmarkStart w:id="0" w:name="_GoBack"/>
        <w:bookmarkEnd w:id="0"/>
        <w:r w:rsidRPr="00C205EB">
          <w:rPr>
            <w:rStyle w:val="Hyperlink"/>
            <w:rFonts w:ascii="Nirmala UI" w:hAnsi="Nirmala UI" w:cs="Nirmala UI"/>
          </w:rPr>
          <w:t>ன</w:t>
        </w:r>
        <w:r w:rsidRPr="00C205EB">
          <w:rPr>
            <w:rStyle w:val="Hyperlink"/>
            <w:rFonts w:ascii="Nirmala UI" w:hAnsi="Nirmala UI" w:cs="Nirmala UI"/>
          </w:rPr>
          <w:t xml:space="preserve"> சமூகங்களின் ஆணையம் வலைத்தளத்திற்கு</w:t>
        </w:r>
      </w:hyperlink>
      <w:r w:rsidRPr="00C205EB">
        <w:rPr>
          <w:rFonts w:ascii="Nirmala UI" w:hAnsi="Nirmala UI" w:cs="Nirmala UI"/>
        </w:rPr>
        <w:t xml:space="preserve"> வருகை தரவும்.</w:t>
      </w:r>
    </w:p>
    <w:p w14:paraId="4C673E45" w14:textId="02AD5A77" w:rsidR="00AE478C" w:rsidRPr="00C205EB" w:rsidRDefault="00010654" w:rsidP="00102097">
      <w:pPr>
        <w:shd w:val="clear" w:color="auto" w:fill="FFFFFF"/>
        <w:spacing w:before="240" w:after="360"/>
        <w:rPr>
          <w:rFonts w:ascii="Nirmala UI" w:hAnsi="Nirmala UI" w:cs="Nirmala UI"/>
          <w:color w:val="212529"/>
          <w:szCs w:val="24"/>
        </w:rPr>
      </w:pPr>
      <w:r w:rsidRPr="00C205EB">
        <w:rPr>
          <w:rFonts w:ascii="Nirmala UI" w:hAnsi="Nirmala UI" w:cs="Nirmala UI"/>
          <w:color w:val="212529"/>
        </w:rPr>
        <w:t>இந்த தகவல் மொழிபெயர்ப்பு உள் விவகார துறையின் கீழ்வரும் மொழிபெயர்ப்பு சேவைகளால் மொழிபெயர்க்கப்பட்டு பன்மொழி தகவல் பிணையத்தால் பகிரப்படுகிறது.</w:t>
      </w:r>
      <w:r w:rsidR="002F29BC" w:rsidRPr="00C205EB">
        <w:rPr>
          <w:rFonts w:ascii="Nirmala UI" w:hAnsi="Nirmala UI" w:cs="Nirmala UI"/>
          <w:color w:val="212529"/>
          <w:rtl/>
        </w:rPr>
        <w:t xml:space="preserve"> </w:t>
      </w:r>
      <w:r w:rsidRPr="00C205EB">
        <w:rPr>
          <w:rFonts w:ascii="Nirmala UI" w:hAnsi="Nirmala UI" w:cs="Nirmala UI"/>
          <w:color w:val="212529"/>
        </w:rPr>
        <w:t xml:space="preserve">நெட்வொர்க்கைப் பற்றிய கூடுதல் தகவலுக்கு பார்வையிடவும் </w:t>
      </w:r>
      <w:hyperlink r:id="rId15" w:history="1">
        <w:r w:rsidRPr="00C205EB">
          <w:rPr>
            <w:rStyle w:val="Hyperlink"/>
            <w:rFonts w:ascii="Nirmala UI" w:hAnsi="Nirmala UI" w:cs="Nirmala UI"/>
          </w:rPr>
          <w:t>இன சமுதாயங்கள் ஆணையம் இணையதளம்</w:t>
        </w:r>
      </w:hyperlink>
      <w:r w:rsidRPr="00C205EB">
        <w:rPr>
          <w:rFonts w:ascii="Nirmala UI" w:hAnsi="Nirmala UI" w:cs="Nirmala UI"/>
          <w:color w:val="212529"/>
        </w:rPr>
        <w:t>.</w:t>
      </w:r>
    </w:p>
    <w:sectPr w:rsidR="00AE478C" w:rsidRPr="00C205EB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E4D" w14:textId="77777777" w:rsidR="00010654" w:rsidRDefault="00010654">
      <w:r>
        <w:separator/>
      </w:r>
    </w:p>
    <w:p w14:paraId="4C673E4E" w14:textId="77777777" w:rsidR="00010654" w:rsidRDefault="00010654"/>
    <w:p w14:paraId="4C673E4F" w14:textId="77777777" w:rsidR="00010654" w:rsidRDefault="00010654"/>
  </w:endnote>
  <w:endnote w:type="continuationSeparator" w:id="0">
    <w:p w14:paraId="4C673E50" w14:textId="77777777" w:rsidR="00010654" w:rsidRDefault="00010654">
      <w:r>
        <w:continuationSeparator/>
      </w:r>
    </w:p>
    <w:p w14:paraId="4C673E51" w14:textId="77777777" w:rsidR="00010654" w:rsidRDefault="00010654"/>
    <w:p w14:paraId="4C673E52" w14:textId="77777777" w:rsidR="00010654" w:rsidRDefault="0001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3E48" w14:textId="77777777" w:rsidR="00010654" w:rsidRDefault="00010654" w:rsidP="00FB1990">
      <w:pPr>
        <w:pStyle w:val="Spacer"/>
      </w:pPr>
      <w:r>
        <w:separator/>
      </w:r>
    </w:p>
    <w:p w14:paraId="4C673E49" w14:textId="77777777" w:rsidR="00010654" w:rsidRDefault="00010654" w:rsidP="00FB1990">
      <w:pPr>
        <w:pStyle w:val="Spacer"/>
      </w:pPr>
    </w:p>
  </w:footnote>
  <w:footnote w:type="continuationSeparator" w:id="0">
    <w:p w14:paraId="4C673E4A" w14:textId="77777777" w:rsidR="00010654" w:rsidRDefault="00010654">
      <w:r>
        <w:continuationSeparator/>
      </w:r>
    </w:p>
    <w:p w14:paraId="4C673E4B" w14:textId="77777777" w:rsidR="00010654" w:rsidRDefault="00010654"/>
    <w:p w14:paraId="4C673E4C" w14:textId="77777777" w:rsidR="00010654" w:rsidRDefault="00010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5099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29BC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71E6"/>
    <w:rsid w:val="00755142"/>
    <w:rsid w:val="00756BB7"/>
    <w:rsid w:val="0075764B"/>
    <w:rsid w:val="00760C01"/>
    <w:rsid w:val="00761293"/>
    <w:rsid w:val="00767C04"/>
    <w:rsid w:val="007736A2"/>
    <w:rsid w:val="007A6226"/>
    <w:rsid w:val="007B1CC2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05EB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ta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ta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ta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ta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ta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ta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ta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ta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ta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ta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ta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ta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ta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C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C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AF51-C474-4C35-9944-4E98C5DBCCB1}">
  <ds:schemaRefs>
    <ds:schemaRef ds:uri="http://purl.org/dc/terms/"/>
    <ds:schemaRef ds:uri="f97a3ead-c851-4392-a697-ddc4736d28b5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558556d4-2e70-4fbf-93f2-cbe4b75cbb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e4277-2979-4a68-876d-b92b25fceece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F94380-443C-4FA3-87FB-AFBB5AD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11</cp:revision>
  <cp:lastPrinted>2014-03-27T01:47:00Z</cp:lastPrinted>
  <dcterms:created xsi:type="dcterms:W3CDTF">2021-03-04T03:11:00Z</dcterms:created>
  <dcterms:modified xsi:type="dcterms:W3CDTF">2021-04-11T23:00:00Z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