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95CFE" w14:textId="76726F54" w:rsidR="00091FFD" w:rsidRPr="006A3A82" w:rsidRDefault="00091FFD" w:rsidP="00091FFD">
      <w:pPr>
        <w:rPr>
          <w:rFonts w:ascii="Latha" w:hAnsi="Latha" w:cs="Latha"/>
          <w:b/>
          <w:bCs/>
          <w:color w:val="1F546B"/>
          <w:kern w:val="32"/>
          <w:sz w:val="52"/>
          <w:szCs w:val="32"/>
        </w:rPr>
      </w:pPr>
      <w:r w:rsidRPr="006A3A82">
        <w:rPr>
          <w:rFonts w:ascii="Latha" w:hAnsi="Latha" w:cs="Latha"/>
          <w:b/>
          <w:color w:val="1F546B"/>
          <w:kern w:val="32"/>
          <w:sz w:val="52"/>
        </w:rPr>
        <w:t xml:space="preserve">நியூசிலாந்து பாதுகாப்பு புலனாய்வு சேவையிலிருந்து </w:t>
      </w:r>
      <w:r w:rsidR="003C3EB1">
        <w:rPr>
          <w:rFonts w:ascii="Latha" w:hAnsi="Latha" w:cs="Latha"/>
          <w:b/>
          <w:color w:val="1F546B"/>
          <w:kern w:val="32"/>
          <w:sz w:val="52"/>
        </w:rPr>
        <w:t xml:space="preserve"> </w:t>
      </w:r>
      <w:r w:rsidR="003C3EB1" w:rsidRPr="007C0FB9">
        <w:rPr>
          <w:rFonts w:ascii="Latha" w:hAnsi="Latha" w:cs="Latha"/>
          <w:bCs/>
          <w:color w:val="1F546B"/>
          <w:kern w:val="32"/>
          <w:sz w:val="52"/>
          <w:szCs w:val="52"/>
          <w:cs/>
          <w:lang w:bidi="ta-IN"/>
        </w:rPr>
        <w:t>நிகழ்வு</w:t>
      </w:r>
      <w:r w:rsidR="003C3EB1" w:rsidRPr="006A3A82">
        <w:rPr>
          <w:rFonts w:ascii="Latha" w:hAnsi="Latha" w:cs="Latha"/>
          <w:b/>
          <w:color w:val="1F546B"/>
          <w:kern w:val="32"/>
          <w:sz w:val="52"/>
        </w:rPr>
        <w:t xml:space="preserve"> </w:t>
      </w:r>
      <w:r w:rsidRPr="006A3A82">
        <w:rPr>
          <w:rFonts w:ascii="Latha" w:hAnsi="Latha" w:cs="Latha"/>
          <w:b/>
          <w:color w:val="1F546B"/>
          <w:kern w:val="32"/>
          <w:sz w:val="52"/>
        </w:rPr>
        <w:t>ஆய்வுகள்</w:t>
      </w:r>
    </w:p>
    <w:p w14:paraId="341EE273" w14:textId="108EF107" w:rsidR="005C2C59" w:rsidRPr="00D0792D" w:rsidRDefault="002110DB" w:rsidP="00B83068">
      <w:pPr>
        <w:rPr>
          <w:rFonts w:ascii="Acumin Pro" w:hAnsi="Acumin Pro" w:cs="Latha"/>
          <w:cs/>
          <w:lang w:bidi="ta-IN"/>
        </w:rPr>
      </w:pPr>
      <w:r w:rsidRPr="00D0792D">
        <w:rPr>
          <w:rFonts w:ascii="Acumin Pro" w:hAnsi="Acumin Pro" w:cs="Latha"/>
          <w:b/>
          <w:bCs/>
          <w:noProof/>
          <w:sz w:val="22"/>
          <w:szCs w:val="22"/>
          <w:lang w:val="en-US" w:bidi="pa-IN"/>
        </w:rPr>
        <mc:AlternateContent>
          <mc:Choice Requires="wps">
            <w:drawing>
              <wp:anchor distT="0" distB="0" distL="114300" distR="114300" simplePos="0" relativeHeight="251659264" behindDoc="0" locked="0" layoutInCell="1" allowOverlap="1" wp14:anchorId="49BCA9A5" wp14:editId="658513F4">
                <wp:simplePos x="0" y="0"/>
                <wp:positionH relativeFrom="margin">
                  <wp:align>left</wp:align>
                </wp:positionH>
                <wp:positionV relativeFrom="paragraph">
                  <wp:posOffset>9525</wp:posOffset>
                </wp:positionV>
                <wp:extent cx="5873262" cy="3006725"/>
                <wp:effectExtent l="0" t="0" r="13335" b="22225"/>
                <wp:wrapNone/>
                <wp:docPr id="1956840727" name="Rectangle 1"/>
                <wp:cNvGraphicFramePr/>
                <a:graphic xmlns:a="http://schemas.openxmlformats.org/drawingml/2006/main">
                  <a:graphicData uri="http://schemas.microsoft.com/office/word/2010/wordprocessingShape">
                    <wps:wsp>
                      <wps:cNvSpPr/>
                      <wps:spPr>
                        <a:xfrm>
                          <a:off x="0" y="0"/>
                          <a:ext cx="5873262" cy="3006725"/>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4A6B6371" w:rsidR="00A330D3" w:rsidRPr="008D074F" w:rsidRDefault="00A330D3" w:rsidP="005C2C59">
                            <w:pPr>
                              <w:spacing w:after="180"/>
                              <w:rPr>
                                <w:rFonts w:ascii="Latha" w:hAnsi="Latha" w:cs="Latha"/>
                                <w:b/>
                                <w:bCs/>
                                <w:color w:val="000000" w:themeColor="text1"/>
                                <w:sz w:val="22"/>
                                <w:szCs w:val="22"/>
                                <w:cs/>
                                <w:lang w:bidi="ta-IN"/>
                              </w:rPr>
                            </w:pPr>
                            <w:r w:rsidRPr="008D074F">
                              <w:rPr>
                                <w:rFonts w:ascii="Latha" w:hAnsi="Latha" w:cs="Latha"/>
                                <w:color w:val="000000" w:themeColor="text1"/>
                                <w:sz w:val="22"/>
                                <w:szCs w:val="22"/>
                                <w:cs/>
                                <w:lang w:bidi="ta-IN"/>
                              </w:rPr>
                              <w:t xml:space="preserve">இந்த நிகழ்வு ஆய்வுகள் </w:t>
                            </w:r>
                            <w:hyperlink r:id="rId8" w:history="1">
                              <w:r w:rsidRPr="008D074F">
                                <w:rPr>
                                  <w:rStyle w:val="Hyperlink"/>
                                  <w:rFonts w:ascii="Latha" w:hAnsi="Latha" w:cs="Latha"/>
                                  <w:sz w:val="22"/>
                                  <w:szCs w:val="22"/>
                                  <w:cs/>
                                  <w:lang w:bidi="ta-IN"/>
                                </w:rPr>
                                <w:t>நியூசிலாந்தின் பாதுகாப்பு அச்சுறுத்தல் சூழலில் இருந்து வந்தவை | நியூசிலாந்து பாதுகாப்பு புலனாய்வு சேவை</w:t>
                              </w:r>
                            </w:hyperlink>
                            <w:r w:rsidRPr="008D074F">
                              <w:rPr>
                                <w:rFonts w:ascii="Latha" w:hAnsi="Latha" w:cs="Latha"/>
                                <w:color w:val="000000" w:themeColor="text1"/>
                                <w:sz w:val="22"/>
                                <w:szCs w:val="22"/>
                                <w:cs/>
                                <w:lang w:bidi="ta-IN"/>
                              </w:rPr>
                              <w:t xml:space="preserve">. இந்த நிகழ்வு ஆய்வுகளில் "வெளிநாட்டு அரசு" என்பது </w:t>
                            </w:r>
                            <w:r w:rsidRPr="008D074F">
                              <w:rPr>
                                <w:rFonts w:ascii="Latha" w:hAnsi="Latha" w:cs="Latha"/>
                                <w:b/>
                                <w:bCs/>
                                <w:color w:val="000000" w:themeColor="text1"/>
                                <w:sz w:val="22"/>
                                <w:szCs w:val="22"/>
                                <w:cs/>
                                <w:lang w:bidi="ta-IN"/>
                              </w:rPr>
                              <w:t>நியூசிலாந்தைத் தவிர வேறு</w:t>
                            </w:r>
                            <w:r w:rsidR="002E7B45" w:rsidRPr="008D074F">
                              <w:rPr>
                                <w:rFonts w:ascii="Latha" w:hAnsi="Latha" w:cs="Latha"/>
                                <w:b/>
                                <w:bCs/>
                                <w:color w:val="000000" w:themeColor="text1"/>
                                <w:sz w:val="22"/>
                                <w:szCs w:val="22"/>
                                <w:cs/>
                                <w:lang w:bidi="ta-IN"/>
                              </w:rPr>
                              <w:t xml:space="preserve"> </w:t>
                            </w:r>
                            <w:r w:rsidRPr="00715F5A">
                              <w:rPr>
                                <w:rFonts w:ascii="Latha" w:hAnsi="Latha" w:cs="Latha"/>
                                <w:b/>
                                <w:bCs/>
                                <w:color w:val="000000" w:themeColor="text1"/>
                                <w:sz w:val="22"/>
                                <w:cs/>
                                <w:lang w:bidi="ta-IN"/>
                              </w:rPr>
                              <w:t>எந்த நாட்டையும்</w:t>
                            </w:r>
                            <w:r w:rsidRPr="008D074F">
                              <w:rPr>
                                <w:rFonts w:ascii="Latha" w:hAnsi="Latha" w:cs="Latha"/>
                                <w:color w:val="000000" w:themeColor="text1"/>
                                <w:sz w:val="22"/>
                                <w:szCs w:val="22"/>
                                <w:cs/>
                                <w:lang w:bidi="ta-IN"/>
                              </w:rPr>
                              <w:t xml:space="preserve"> குறிக்கும். நியூசிலாந்திற்கு வெளியே உள்ள நாடுகளைக் குறிக்க இந்த சொல் பயன்படுத்தப்படுகிறது.</w:t>
                            </w:r>
                          </w:p>
                          <w:p w14:paraId="42E216BA" w14:textId="55DE8FCE" w:rsidR="005C2C59" w:rsidRPr="008D074F" w:rsidRDefault="005C2C59" w:rsidP="005C2C59">
                            <w:pPr>
                              <w:spacing w:after="180"/>
                              <w:rPr>
                                <w:rFonts w:ascii="Latha" w:hAnsi="Latha" w:cs="Latha"/>
                                <w:color w:val="000000" w:themeColor="text1"/>
                                <w:sz w:val="22"/>
                                <w:szCs w:val="22"/>
                                <w:cs/>
                                <w:lang w:bidi="ta-IN"/>
                              </w:rPr>
                            </w:pPr>
                            <w:r w:rsidRPr="008D074F">
                              <w:rPr>
                                <w:rFonts w:ascii="Latha" w:hAnsi="Latha" w:cs="Latha"/>
                                <w:b/>
                                <w:bCs/>
                                <w:color w:val="000000" w:themeColor="text1"/>
                                <w:sz w:val="22"/>
                                <w:szCs w:val="22"/>
                                <w:cs/>
                                <w:lang w:bidi="ta-IN"/>
                              </w:rPr>
                              <w:t xml:space="preserve">நியூசிலாந்து பாதுகாப்பு புலனாய்வு சேவை (NZSIS) </w:t>
                            </w:r>
                            <w:r w:rsidRPr="008D074F">
                              <w:rPr>
                                <w:rFonts w:ascii="Latha" w:hAnsi="Latha" w:cs="Latha"/>
                                <w:color w:val="000000" w:themeColor="text1"/>
                                <w:sz w:val="22"/>
                                <w:szCs w:val="22"/>
                                <w:cs/>
                                <w:lang w:bidi="ta-IN"/>
                              </w:rPr>
                              <w:t>வெளிநாட்டு தலையீட்டை ஒரு வெளிநாட்டு அரசின் செயலாக வரையறுக்கிறது, இது பெரும்பாலும் ப்ராக்ஸி மூலம் செயல்படுகிறது, இது நியூசிலாந்தின் தேசிய நலன்களை ஏமாற்றும், ஊழல் அல்லது வற்புறுத்தல் மூலம் செல்வாக்கு, சீர்குலைத்தல் அல்லது சீர்குலைக்கும் நோக்கம் கொண்டது. இயல்பான அரசு சார்ந்த செயல்பாடு, ஆதரவு தேடல் மற்றும் செல்வாக்கைப் பெறுவதற்கான பிற உண்மையான, வெளிப்படையான முயற்சிகள் தலையீடு என்று கருதப்படுவதில்லை.</w:t>
                            </w:r>
                          </w:p>
                          <w:p w14:paraId="768EB1DD" w14:textId="77777777" w:rsidR="005C2C59" w:rsidRPr="008D074F" w:rsidRDefault="005C2C59" w:rsidP="005C2C59">
                            <w:pPr>
                              <w:jc w:val="center"/>
                              <w:rPr>
                                <w:rFonts w:ascii="Latha" w:hAnsi="Latha" w:cs="Latha"/>
                                <w:cs/>
                                <w:lang w:bidi="ta-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0;margin-top:.75pt;width:462.45pt;height:236.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" fillcolor="white [3201]" strokecolor="#a42f13 [3205]" strokeweight="2pt">
                <v:textbox>
                  <w:txbxContent>
                    <w:p w14:paraId="0C20BA58" w14:textId="4A6B6371" w:rsidR="00A330D3" w:rsidRPr="008D074F" w:rsidRDefault="00A330D3" w:rsidP="005C2C59">
                      <w:pPr>
                        <w:spacing w:after="180"/>
                        <w:rPr>
                          <w:rFonts w:ascii="Latha" w:hAnsi="Latha" w:cs="Latha"/>
                          <w:b/>
                          <w:bCs/>
                          <w:color w:val="000000" w:themeColor="text1"/>
                          <w:sz w:val="22"/>
                          <w:szCs w:val="22"/>
                          <w:cs/>
                          <w:lang w:bidi="ta-IN"/>
                        </w:rPr>
                      </w:pPr>
                      <w:r w:rsidRPr="008D074F">
                        <w:rPr>
                          <w:rFonts w:ascii="Latha" w:hAnsi="Latha" w:cs="Latha"/>
                          <w:color w:val="000000" w:themeColor="text1"/>
                          <w:sz w:val="22"/>
                          <w:szCs w:val="22"/>
                          <w:cs/>
                          <w:lang w:bidi="ta-IN"/>
                        </w:rPr>
                        <w:t xml:space="preserve">இந்த நிகழ்வு ஆய்வுகள் </w:t>
                      </w:r>
                      <w:hyperlink r:id="rId9" w:history="1">
                        <w:r w:rsidRPr="008D074F">
                          <w:rPr>
                            <w:rStyle w:val="Hyperlink"/>
                            <w:rFonts w:ascii="Latha" w:hAnsi="Latha" w:cs="Latha"/>
                            <w:sz w:val="22"/>
                            <w:szCs w:val="22"/>
                            <w:cs/>
                            <w:lang w:bidi="ta-IN"/>
                          </w:rPr>
                          <w:t>நியூசிலாந்தின் பாதுகாப்பு அச்சுறுத்தல் சூழலில் இருந்து வந்தவை | நியூசிலாந்து பாதுகாப்பு புலனாய்வு சேவை</w:t>
                        </w:r>
                      </w:hyperlink>
                      <w:r w:rsidRPr="008D074F">
                        <w:rPr>
                          <w:rFonts w:ascii="Latha" w:hAnsi="Latha" w:cs="Latha"/>
                          <w:color w:val="000000" w:themeColor="text1"/>
                          <w:sz w:val="22"/>
                          <w:szCs w:val="22"/>
                          <w:cs/>
                          <w:lang w:bidi="ta-IN"/>
                        </w:rPr>
                        <w:t xml:space="preserve">. இந்த நிகழ்வு ஆய்வுகளில் "வெளிநாட்டு அரசு" என்பது </w:t>
                      </w:r>
                      <w:r w:rsidRPr="008D074F">
                        <w:rPr>
                          <w:rFonts w:ascii="Latha" w:hAnsi="Latha" w:cs="Latha"/>
                          <w:b/>
                          <w:bCs/>
                          <w:color w:val="000000" w:themeColor="text1"/>
                          <w:sz w:val="22"/>
                          <w:szCs w:val="22"/>
                          <w:cs/>
                          <w:lang w:bidi="ta-IN"/>
                        </w:rPr>
                        <w:t>நியூசிலாந்தைத் தவிர வேறு</w:t>
                      </w:r>
                      <w:r w:rsidR="002E7B45" w:rsidRPr="008D074F">
                        <w:rPr>
                          <w:rFonts w:ascii="Latha" w:hAnsi="Latha" w:cs="Latha"/>
                          <w:b/>
                          <w:bCs/>
                          <w:color w:val="000000" w:themeColor="text1"/>
                          <w:sz w:val="22"/>
                          <w:szCs w:val="22"/>
                          <w:cs/>
                          <w:lang w:bidi="ta-IN"/>
                        </w:rPr>
                        <w:t xml:space="preserve"> </w:t>
                      </w:r>
                      <w:r w:rsidRPr="00715F5A">
                        <w:rPr>
                          <w:rFonts w:ascii="Latha" w:hAnsi="Latha" w:cs="Latha"/>
                          <w:b/>
                          <w:bCs/>
                          <w:color w:val="000000" w:themeColor="text1"/>
                          <w:sz w:val="22"/>
                          <w:cs/>
                          <w:lang w:bidi="ta-IN"/>
                        </w:rPr>
                        <w:t>எந்த நாட்டையும்</w:t>
                      </w:r>
                      <w:r w:rsidRPr="008D074F">
                        <w:rPr>
                          <w:rFonts w:ascii="Latha" w:hAnsi="Latha" w:cs="Latha"/>
                          <w:color w:val="000000" w:themeColor="text1"/>
                          <w:sz w:val="22"/>
                          <w:szCs w:val="22"/>
                          <w:cs/>
                          <w:lang w:bidi="ta-IN"/>
                        </w:rPr>
                        <w:t xml:space="preserve"> குறிக்கும். நியூசிலாந்திற்கு வெளியே உள்ள நாடுகளைக் குறிக்க இந்த சொல் பயன்படுத்தப்படுகிறது.</w:t>
                      </w:r>
                    </w:p>
                    <w:p w14:paraId="42E216BA" w14:textId="55DE8FCE" w:rsidR="005C2C59" w:rsidRPr="008D074F" w:rsidRDefault="005C2C59" w:rsidP="005C2C59">
                      <w:pPr>
                        <w:spacing w:after="180"/>
                        <w:rPr>
                          <w:rFonts w:ascii="Latha" w:hAnsi="Latha" w:cs="Latha"/>
                          <w:color w:val="000000" w:themeColor="text1"/>
                          <w:sz w:val="22"/>
                          <w:szCs w:val="22"/>
                          <w:cs/>
                          <w:lang w:bidi="ta-IN"/>
                        </w:rPr>
                      </w:pPr>
                      <w:r w:rsidRPr="008D074F">
                        <w:rPr>
                          <w:rFonts w:ascii="Latha" w:hAnsi="Latha" w:cs="Latha"/>
                          <w:b/>
                          <w:bCs/>
                          <w:color w:val="000000" w:themeColor="text1"/>
                          <w:sz w:val="22"/>
                          <w:szCs w:val="22"/>
                          <w:cs/>
                          <w:lang w:bidi="ta-IN"/>
                        </w:rPr>
                        <w:t xml:space="preserve">நியூசிலாந்து பாதுகாப்பு புலனாய்வு சேவை (NZSIS) </w:t>
                      </w:r>
                      <w:r w:rsidRPr="008D074F">
                        <w:rPr>
                          <w:rFonts w:ascii="Latha" w:hAnsi="Latha" w:cs="Latha"/>
                          <w:color w:val="000000" w:themeColor="text1"/>
                          <w:sz w:val="22"/>
                          <w:szCs w:val="22"/>
                          <w:cs/>
                          <w:lang w:bidi="ta-IN"/>
                        </w:rPr>
                        <w:t>வெளிநாட்டு தலையீட்டை ஒரு வெளிநாட்டு அரசின் செயலாக வரையறுக்கிறது, இது பெரும்பாலும் ப்ராக்ஸி மூலம் செயல்படுகிறது, இது நியூசிலாந்தின் தேசிய நலன்களை ஏமாற்றும், ஊழல் அல்லது வற்புறுத்தல் மூலம் செல்வாக்கு, சீர்குலைத்தல் அல்லது சீர்குலைக்கும் நோக்கம் கொண்டது. இயல்பான அரசு சார்ந்த செயல்பாடு, ஆதரவு தேடல் மற்றும் செல்வாக்கைப் பெறுவதற்கான பிற உண்மையான, வெளிப்படையான முயற்சிகள் தலையீடு என்று கருதப்படுவதில்லை.</w:t>
                      </w:r>
                    </w:p>
                    <w:p w14:paraId="768EB1DD" w14:textId="77777777" w:rsidR="005C2C59" w:rsidRPr="008D074F" w:rsidRDefault="005C2C59" w:rsidP="005C2C59">
                      <w:pPr>
                        <w:jc w:val="center"/>
                        <w:rPr>
                          <w:rFonts w:ascii="Latha" w:hAnsi="Latha" w:cs="Latha"/>
                          <w:cs/>
                          <w:lang w:bidi="ta-IN"/>
                        </w:rPr>
                      </w:pPr>
                    </w:p>
                  </w:txbxContent>
                </v:textbox>
                <w10:wrap anchorx="margin"/>
              </v:rect>
            </w:pict>
          </mc:Fallback>
        </mc:AlternateContent>
      </w:r>
    </w:p>
    <w:p w14:paraId="1B543534" w14:textId="506C6650" w:rsidR="005C2C59" w:rsidRPr="00D0792D" w:rsidRDefault="005C2C59" w:rsidP="00B83068">
      <w:pPr>
        <w:rPr>
          <w:rFonts w:ascii="Acumin Pro" w:hAnsi="Acumin Pro" w:cs="Latha"/>
          <w:cs/>
          <w:lang w:bidi="ta-IN"/>
        </w:rPr>
      </w:pPr>
    </w:p>
    <w:p w14:paraId="2BFFF6F6" w14:textId="60EA1E08" w:rsidR="005C2C59" w:rsidRPr="00D0792D" w:rsidRDefault="005C2C59" w:rsidP="00B83068">
      <w:pPr>
        <w:rPr>
          <w:rFonts w:ascii="Acumin Pro" w:hAnsi="Acumin Pro" w:cs="Latha"/>
          <w:cs/>
          <w:lang w:bidi="ta-IN"/>
        </w:rPr>
      </w:pPr>
    </w:p>
    <w:p w14:paraId="6B6309BE" w14:textId="4678DDB8" w:rsidR="005C2C59" w:rsidRPr="00D0792D" w:rsidRDefault="005C2C59" w:rsidP="00B83068">
      <w:pPr>
        <w:rPr>
          <w:rFonts w:ascii="Acumin Pro" w:hAnsi="Acumin Pro" w:cs="Latha"/>
          <w:cs/>
          <w:lang w:bidi="ta-IN"/>
        </w:rPr>
      </w:pPr>
    </w:p>
    <w:p w14:paraId="6133D367" w14:textId="5834F23E" w:rsidR="00D22C42" w:rsidRPr="00D0792D" w:rsidRDefault="00D22C42" w:rsidP="00B83068">
      <w:pPr>
        <w:rPr>
          <w:rFonts w:ascii="Acumin Pro" w:hAnsi="Acumin Pro" w:cs="Latha"/>
          <w:b/>
          <w:bCs/>
          <w:cs/>
          <w:lang w:bidi="ta-IN"/>
        </w:rPr>
      </w:pPr>
    </w:p>
    <w:p w14:paraId="7F1295D2" w14:textId="77777777" w:rsidR="002110DB" w:rsidRPr="00D0792D" w:rsidRDefault="002110DB" w:rsidP="00B83068">
      <w:pPr>
        <w:rPr>
          <w:rFonts w:ascii="Acumin Pro" w:hAnsi="Acumin Pro" w:cs="Latha"/>
          <w:b/>
          <w:bCs/>
          <w:cs/>
          <w:lang w:bidi="ta-IN"/>
        </w:rPr>
      </w:pPr>
    </w:p>
    <w:p w14:paraId="07BDB4FC" w14:textId="77777777" w:rsidR="002110DB" w:rsidRPr="00D0792D" w:rsidRDefault="002110DB" w:rsidP="00B83068">
      <w:pPr>
        <w:rPr>
          <w:rFonts w:ascii="Acumin Pro" w:hAnsi="Acumin Pro" w:cs="Latha"/>
          <w:b/>
          <w:bCs/>
          <w:cs/>
          <w:lang w:bidi="ta-IN"/>
        </w:rPr>
      </w:pPr>
    </w:p>
    <w:p w14:paraId="68B7FD47" w14:textId="77777777" w:rsidR="002110DB" w:rsidRPr="00D0792D" w:rsidRDefault="002110DB" w:rsidP="00B83068">
      <w:pPr>
        <w:rPr>
          <w:rFonts w:ascii="Acumin Pro" w:hAnsi="Acumin Pro" w:cs="Latha"/>
          <w:b/>
          <w:bCs/>
          <w:cs/>
          <w:lang w:bidi="ta-IN"/>
        </w:rPr>
      </w:pPr>
    </w:p>
    <w:p w14:paraId="467361B9" w14:textId="77777777" w:rsidR="002110DB" w:rsidRPr="00D0792D" w:rsidRDefault="002110DB" w:rsidP="00B83068">
      <w:pPr>
        <w:rPr>
          <w:rFonts w:ascii="Acumin Pro" w:hAnsi="Acumin Pro" w:cs="Latha"/>
          <w:b/>
          <w:bCs/>
          <w:cs/>
          <w:lang w:bidi="ta-IN"/>
        </w:rPr>
      </w:pPr>
    </w:p>
    <w:p w14:paraId="0597762E" w14:textId="77777777" w:rsidR="002656E7" w:rsidRPr="00D0792D" w:rsidRDefault="002656E7" w:rsidP="002656E7">
      <w:pPr>
        <w:spacing w:before="0" w:after="0"/>
        <w:rPr>
          <w:rFonts w:ascii="Acumin Pro" w:hAnsi="Acumin Pro" w:cs="Latha"/>
          <w:b/>
          <w:bCs/>
          <w:cs/>
          <w:lang w:bidi="ta-IN"/>
        </w:rPr>
      </w:pPr>
    </w:p>
    <w:p w14:paraId="76DB7FAF" w14:textId="7B78EA1D" w:rsidR="002E7B45" w:rsidRPr="00D0792D" w:rsidRDefault="00B83068" w:rsidP="00F6789A">
      <w:pPr>
        <w:spacing w:before="240" w:after="0"/>
        <w:rPr>
          <w:rFonts w:ascii="Acumin Pro" w:hAnsi="Acumin Pro" w:cs="Latha"/>
          <w:b/>
          <w:bCs/>
          <w:cs/>
          <w:lang w:bidi="ta-IN"/>
        </w:rPr>
      </w:pPr>
      <w:r w:rsidRPr="00D0792D">
        <w:rPr>
          <w:rFonts w:ascii="Acumin Pro" w:hAnsi="Acumin Pro" w:cs="Latha"/>
          <w:b/>
          <w:bCs/>
          <w:cs/>
          <w:lang w:bidi="ta-IN"/>
        </w:rPr>
        <w:t>நிகழ்வு ஆய்வு 1</w:t>
      </w:r>
    </w:p>
    <w:p w14:paraId="5094D610" w14:textId="3DB9804B" w:rsidR="002110DB" w:rsidRPr="00D0792D" w:rsidRDefault="00B83068" w:rsidP="00F6789A">
      <w:pPr>
        <w:spacing w:after="0"/>
        <w:rPr>
          <w:rFonts w:ascii="Acumin Pro" w:hAnsi="Acumin Pro" w:cs="Latha"/>
          <w:cs/>
          <w:lang w:bidi="ta-IN"/>
        </w:rPr>
      </w:pPr>
      <w:r w:rsidRPr="00D0792D">
        <w:rPr>
          <w:rFonts w:ascii="Acumin Pro" w:hAnsi="Acumin Pro" w:cs="Latha"/>
          <w:bCs/>
          <w:cs/>
          <w:lang w:bidi="ta-IN"/>
        </w:rPr>
        <w:t>2023</w:t>
      </w:r>
      <w:r w:rsidR="002E7B45" w:rsidRPr="00D0792D">
        <w:rPr>
          <w:rFonts w:ascii="Acumin Pro" w:hAnsi="Acumin Pro" w:cs="Latha"/>
          <w:b/>
          <w:bCs/>
          <w:cs/>
          <w:lang w:bidi="ta-IN"/>
        </w:rPr>
        <w:t xml:space="preserve"> </w:t>
      </w:r>
      <w:r w:rsidRPr="00D0792D">
        <w:rPr>
          <w:rFonts w:ascii="Acumin Pro" w:hAnsi="Acumin Pro" w:cs="Latha"/>
          <w:cs/>
          <w:lang w:bidi="ta-IN"/>
        </w:rPr>
        <w:t xml:space="preserve">ஆம் ஆண்டில், ஒரு குறிப்பிட்ட மதக் குழுவின் பங்கேற்பைக் கட்டுப்படுத்த ஒப்புக்கொண்டால், ஒரு சமூக நிகழ்வுக்கு நிதியளிக்க உதவுவதாக உள்ளூர் கவுன்சிலுக்கு அழுத்தம் கொடுக்க ஒரு வெளிநாட்டு அரசு நியூசிலாந்து தொடர்பைப் பயன்படுத்தியது. இந்த குழு தங்கள் நாட்டில் தடை செய்யப்பட்டுள்ளது மற்றும் நாட்டின் புலம்பெயர்ந்தோரின் </w:t>
      </w:r>
      <w:r w:rsidR="009A28BA" w:rsidRPr="00D0792D">
        <w:rPr>
          <w:rFonts w:ascii="Acumin Pro" w:hAnsi="Acumin Pro" w:cs="Latha"/>
          <w:lang w:val="en-US" w:bidi="ta-IN"/>
        </w:rPr>
        <w:t>‘</w:t>
      </w:r>
      <w:r w:rsidRPr="00D0792D">
        <w:rPr>
          <w:rFonts w:ascii="Acumin Pro" w:hAnsi="Acumin Pro" w:cs="Latha"/>
          <w:cs/>
          <w:lang w:bidi="ta-IN"/>
        </w:rPr>
        <w:t>விருப்பத்திற்கு எதிரான</w:t>
      </w:r>
      <w:r w:rsidR="009A28BA" w:rsidRPr="00D0792D">
        <w:rPr>
          <w:rFonts w:ascii="Acumin Pro" w:hAnsi="Acumin Pro" w:cs="Latha"/>
          <w:cs/>
          <w:lang w:bidi="ta-IN"/>
        </w:rPr>
        <w:t>’</w:t>
      </w:r>
      <w:r w:rsidRPr="00D0792D">
        <w:rPr>
          <w:rFonts w:ascii="Acumin Pro" w:hAnsi="Acumin Pro" w:cs="Latha"/>
          <w:cs/>
          <w:lang w:bidi="ta-IN"/>
        </w:rPr>
        <w:t xml:space="preserve"> நடவடிக்கைகளை மேற்கொள்கிறது என்பதை வெளிநாட்டு அரசு </w:t>
      </w:r>
      <w:r w:rsidR="002E7B45" w:rsidRPr="00D0792D">
        <w:rPr>
          <w:rFonts w:ascii="Acumin Pro" w:hAnsi="Acumin Pro" w:cs="Latha"/>
          <w:cs/>
          <w:lang w:bidi="ta-IN"/>
        </w:rPr>
        <w:t>தெரிவிக்க விரும்புகிறது</w:t>
      </w:r>
      <w:r w:rsidRPr="00D0792D">
        <w:rPr>
          <w:rFonts w:ascii="Acumin Pro" w:hAnsi="Acumin Pro" w:cs="Latha"/>
          <w:cs/>
          <w:lang w:bidi="ta-IN"/>
        </w:rPr>
        <w:t>.</w:t>
      </w:r>
    </w:p>
    <w:p w14:paraId="05591EC1" w14:textId="5F07FD7F" w:rsidR="00AE478C" w:rsidRPr="00D0792D" w:rsidRDefault="00B83068" w:rsidP="00B83068">
      <w:pPr>
        <w:rPr>
          <w:rFonts w:ascii="Acumin Pro" w:hAnsi="Acumin Pro" w:cs="Latha"/>
          <w:cs/>
          <w:lang w:bidi="ta-IN"/>
        </w:rPr>
      </w:pPr>
      <w:r w:rsidRPr="00D0792D">
        <w:rPr>
          <w:rFonts w:ascii="Acumin Pro" w:hAnsi="Acumin Pro" w:cs="Latha"/>
          <w:b/>
          <w:bCs/>
          <w:cs/>
          <w:lang w:bidi="ta-IN"/>
        </w:rPr>
        <w:lastRenderedPageBreak/>
        <w:t>நிகழ்வு ஆய்வு 2</w:t>
      </w:r>
      <w:r w:rsidRPr="00D0792D">
        <w:rPr>
          <w:rFonts w:ascii="Acumin Pro" w:hAnsi="Acumin Pro" w:cs="Latha"/>
          <w:b/>
          <w:bCs/>
          <w:cs/>
          <w:lang w:bidi="ta-IN"/>
        </w:rPr>
        <w:br/>
      </w:r>
      <w:r w:rsidRPr="00D0792D">
        <w:rPr>
          <w:rFonts w:ascii="Acumin Pro" w:hAnsi="Acumin Pro" w:cs="Latha"/>
          <w:cs/>
          <w:lang w:bidi="ta-IN"/>
        </w:rPr>
        <w:t>NZSIS ஒரு வெளிநாட்டு அரசைப் பிரதிநிதித்துவப்படுத்தும் பல தூதர்களை அறிந்திருக்கிறது, அவர்கள் அந்த அரசின் புலம்பெயர்ந்த மக்களுடன் தொடர்புடைய பல நியூசிலாந்து மாணவர் குழுக்களுடன் உறவுகளைப் பேணுகிறார்கள். தலைமைப் பதவிகளுக்கு தேர்ந்தெடுக்கப்படுபவர்கள் வெளிநாட்டு அரசுக்கு அரசியல் ரீதியாக விசுவாசமாக இருப்பதை உறுதிப்படுத்தும் முயற்சியில் குழு உறுப்பினர்களில் செல்வாக்கு செலுத்த அரசியல் நிபுணர்கள் இந்த வாய்ப்பைப் பயன்படுத்துகின்றனர். கல்விச் சமூகத்தில் தலையிடும் குற்றச்சாட்டைத் தவிர்ப்பதற்காக மாணவர் குழுக்களுடனான தங்கள் உறவை மறைக்க அவர்கள் தேர்வு செய்துள்ளனர். இவ்வாறு நடந்து கொள்வது வெளிநாட்டு தலையீட்டிற்கு ஒரு உதாரணம் ஆகும். இந்தக் குழுக்களும் அவற்றின் உறுப்பினர்களும் அரசை எப்படிப் பார்க்கிறார்கள் என்பதைக் கட்டுப்படுத்தவும், அதிருப்தியாளர்களை அடையாளம் காணவும் நோக்கமாகக் கொண்டுள்ளனர்.</w:t>
      </w:r>
    </w:p>
    <w:p w14:paraId="58DF5229" w14:textId="1F25D62A" w:rsidR="00D0792D" w:rsidRPr="00D0792D" w:rsidRDefault="004E192C" w:rsidP="00B83068">
      <w:pPr>
        <w:rPr>
          <w:rFonts w:ascii="Acumin Pro" w:hAnsi="Acumin Pro" w:cs="Latha"/>
          <w:b/>
          <w:bCs/>
          <w:cs/>
          <w:lang w:bidi="ta-IN"/>
        </w:rPr>
      </w:pPr>
      <w:r w:rsidRPr="00D0792D">
        <w:rPr>
          <w:rFonts w:ascii="Acumin Pro" w:hAnsi="Acumin Pro" w:cs="Latha"/>
          <w:b/>
          <w:bCs/>
          <w:cs/>
          <w:lang w:bidi="ta-IN"/>
        </w:rPr>
        <w:t>நிகழ்வு ஆய்வு 3</w:t>
      </w:r>
      <w:r w:rsidRPr="00D0792D">
        <w:rPr>
          <w:rFonts w:ascii="Acumin Pro" w:hAnsi="Acumin Pro" w:cs="Latha"/>
          <w:b/>
          <w:bCs/>
          <w:cs/>
          <w:lang w:bidi="ta-IN"/>
        </w:rPr>
        <w:br/>
      </w:r>
      <w:r w:rsidRPr="00D0792D">
        <w:rPr>
          <w:rFonts w:ascii="Acumin Pro" w:hAnsi="Acumin Pro" w:cs="Latha"/>
          <w:cs/>
          <w:lang w:bidi="ta-IN"/>
        </w:rPr>
        <w:t xml:space="preserve">ஒரு சிறிய எண்ணிக்கையிலான வெளிநாட்டு அரசுகள் நியூசிலாந்தில் உள்ள குறிப்பிட்ட சமூகங்கள் பற்றிய தகவல்களை சேகரிக்கின்றன. பெரும்பாலும் இந்த நாடுகள், நியூசிலாந்தில் உள்ள வெளிநாட்டு அரசின்  பார்வையில் அதிருப்தியாளர்களாக இருப்பவர்களை கண்காணிக்கவும், அவர்களைப் பற்றிய தனிப்பட்ட விவரங்களை சேகரிக்கவும் சமூக உறுப்பினர்களைப் பயன்படுத்தும். விசாவை ரத்து செய்தல் அல்லது இன்னும் வெளி நாட்டில் வசிக்கும் குடும்ப உறுப்பினர்களை குறிவைத்தல் போன்ற பழிவாங்கும் நடவடிக்கைகளை மேற்கொள்ள இந்தத் தகவல் பயன்படுத்தப்படலாம். 2023 ஆம் ஆண்டில், ஒரு வெளிநாட்டு அரசு விரும்பாத ஒரு சமூகக் குழுவுடன் தொடர்பு கொண்டதன் காரணமாக, அந்நாட்டில் உள்ள குடும்பத்தைப் பார்க்க முயற்சி செய்த நியூசிலாந்து நபர் ஒருவரின் </w:t>
      </w:r>
      <w:r w:rsidR="008F2AF4" w:rsidRPr="00D0792D">
        <w:rPr>
          <w:rFonts w:ascii="Acumin Pro" w:hAnsi="Acumin Pro" w:cs="Latha"/>
          <w:cs/>
          <w:lang w:bidi="ta-IN"/>
        </w:rPr>
        <w:t xml:space="preserve">விசா </w:t>
      </w:r>
      <w:r w:rsidRPr="00D0792D">
        <w:rPr>
          <w:rFonts w:ascii="Acumin Pro" w:hAnsi="Acumin Pro" w:cs="Latha"/>
          <w:cs/>
          <w:lang w:bidi="ta-IN"/>
        </w:rPr>
        <w:t>விண்ணப்பத்தை மறுத்தது.</w:t>
      </w:r>
    </w:p>
    <w:sectPr w:rsidR="00D0792D" w:rsidRPr="00D0792D" w:rsidSect="0084693C">
      <w:footerReference w:type="default" r:id="rId10"/>
      <w:headerReference w:type="first" r:id="rId11"/>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6DEFF" w14:textId="77777777" w:rsidR="00625AE4" w:rsidRDefault="00625AE4">
      <w:pPr>
        <w:rPr>
          <w:rFonts w:cs="Calibri"/>
          <w:cs/>
          <w:lang w:bidi="ta-IN"/>
        </w:rPr>
      </w:pPr>
      <w:r>
        <w:separator/>
      </w:r>
    </w:p>
    <w:p w14:paraId="19B5B08F" w14:textId="77777777" w:rsidR="00625AE4" w:rsidRDefault="00625AE4">
      <w:pPr>
        <w:rPr>
          <w:rFonts w:cs="Calibri"/>
          <w:cs/>
          <w:lang w:bidi="ta-IN"/>
        </w:rPr>
      </w:pPr>
    </w:p>
    <w:p w14:paraId="6A432235" w14:textId="77777777" w:rsidR="00625AE4" w:rsidRDefault="00625AE4">
      <w:pPr>
        <w:rPr>
          <w:rFonts w:cs="Calibri"/>
          <w:cs/>
          <w:lang w:bidi="ta-IN"/>
        </w:rPr>
      </w:pPr>
    </w:p>
  </w:endnote>
  <w:endnote w:type="continuationSeparator" w:id="0">
    <w:p w14:paraId="674A5BF6" w14:textId="77777777" w:rsidR="00625AE4" w:rsidRDefault="00625AE4">
      <w:pPr>
        <w:rPr>
          <w:rFonts w:cs="Calibri"/>
          <w:cs/>
          <w:lang w:bidi="ta-IN"/>
        </w:rPr>
      </w:pPr>
      <w:r>
        <w:continuationSeparator/>
      </w:r>
    </w:p>
    <w:p w14:paraId="2AB6E826" w14:textId="77777777" w:rsidR="00625AE4" w:rsidRDefault="00625AE4">
      <w:pPr>
        <w:rPr>
          <w:rFonts w:cs="Calibri"/>
          <w:cs/>
          <w:lang w:bidi="ta-IN"/>
        </w:rPr>
      </w:pPr>
    </w:p>
    <w:p w14:paraId="45F4D657" w14:textId="77777777" w:rsidR="00625AE4" w:rsidRDefault="00625AE4">
      <w:pPr>
        <w:rPr>
          <w:rFonts w:cs="Calibri"/>
          <w:cs/>
          <w:lang w:bidi="ta-IN"/>
        </w:rPr>
      </w:pPr>
    </w:p>
  </w:endnote>
  <w:endnote w:type="continuationNotice" w:id="1">
    <w:p w14:paraId="26516E7E" w14:textId="77777777" w:rsidR="00625AE4" w:rsidRDefault="00625AE4">
      <w:pPr>
        <w:spacing w:before="0" w:after="0"/>
        <w:rPr>
          <w:rFonts w:cs="Calibri"/>
          <w:cs/>
          <w:lang w:bidi="ta-I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ha">
    <w:panose1 w:val="02000400000000000000"/>
    <w:charset w:val="00"/>
    <w:family w:val="swiss"/>
    <w:pitch w:val="variable"/>
    <w:sig w:usb0="00100003" w:usb1="00000000" w:usb2="00000000" w:usb3="00000000" w:csb0="00000001" w:csb1="00000000"/>
  </w:font>
  <w:font w:name="Acumin Pro">
    <w:altName w:val="Calibri"/>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252A" w14:textId="363CB332" w:rsidR="008504D0" w:rsidRDefault="00EE02EC" w:rsidP="00715F5A">
    <w:pPr>
      <w:pStyle w:val="Footer"/>
      <w:tabs>
        <w:tab w:val="left" w:pos="2070"/>
        <w:tab w:val="right" w:pos="9071"/>
      </w:tabs>
      <w:ind w:right="-1"/>
      <w:jc w:val="right"/>
      <w:rPr>
        <w:rFonts w:cs="Calibri"/>
        <w:iCs/>
        <w:szCs w:val="20"/>
        <w:cs/>
        <w:lang w:bidi="ta-IN"/>
      </w:rPr>
    </w:pPr>
    <w:r>
      <w:fldChar w:fldCharType="begin"/>
    </w:r>
    <w:r>
      <w:rPr>
        <w:rFonts w:cs="Calibri"/>
        <w:iCs/>
        <w:szCs w:val="20"/>
        <w:cs/>
        <w:lang w:bidi="ta-IN"/>
      </w:rPr>
      <w:instrText xml:space="preserve"> NUMPAGES   \* MERGEFORMAT </w:instrText>
    </w:r>
    <w:r>
      <w:fldChar w:fldCharType="separate"/>
    </w:r>
    <w:r w:rsidR="00F6789A" w:rsidRPr="00F6789A">
      <w:rPr>
        <w:rFonts w:cs="Calibri"/>
        <w:iCs/>
        <w:noProof/>
        <w:szCs w:val="20"/>
        <w:cs/>
        <w:lang w:bidi="ta-IN"/>
      </w:rPr>
      <w:t>2</w:t>
    </w:r>
    <w:r>
      <w:fldChar w:fldCharType="end"/>
    </w:r>
    <w:r w:rsidR="00FF6737">
      <w:rPr>
        <w:rFonts w:cs="Latha"/>
        <w:iCs/>
        <w:szCs w:val="20"/>
        <w:cs/>
        <w:lang w:bidi="ta-IN"/>
      </w:rPr>
      <w:t>இல்</w:t>
    </w:r>
    <w:r w:rsidR="00FF6737">
      <w:rPr>
        <w:rFonts w:cs="Calibri"/>
        <w:iCs/>
        <w:szCs w:val="20"/>
        <w:cs/>
        <w:lang w:bidi="ta-IN"/>
      </w:rPr>
      <w:t xml:space="preserve"> </w:t>
    </w:r>
    <w:r w:rsidR="008504D0">
      <w:fldChar w:fldCharType="begin"/>
    </w:r>
    <w:r w:rsidR="008504D0">
      <w:rPr>
        <w:rFonts w:cs="Calibri"/>
        <w:iCs/>
        <w:szCs w:val="20"/>
        <w:cs/>
        <w:lang w:bidi="ta-IN"/>
      </w:rPr>
      <w:instrText xml:space="preserve"> PAGE  \* Arabic  \* MERGEFORMAT </w:instrText>
    </w:r>
    <w:r w:rsidR="008504D0">
      <w:fldChar w:fldCharType="separate"/>
    </w:r>
    <w:r w:rsidR="00F6789A" w:rsidRPr="00F6789A">
      <w:rPr>
        <w:rFonts w:cs="Calibri"/>
        <w:iCs/>
        <w:noProof/>
        <w:szCs w:val="20"/>
        <w:cs/>
        <w:lang w:bidi="ta-IN"/>
      </w:rPr>
      <w:t>2</w:t>
    </w:r>
    <w:r w:rsidR="008504D0">
      <w:fldChar w:fldCharType="end"/>
    </w:r>
    <w:r w:rsidR="00FF6737">
      <w:rPr>
        <w:rFonts w:cs="Latha"/>
        <w:iCs/>
        <w:szCs w:val="20"/>
        <w:cs/>
        <w:lang w:bidi="ta-IN"/>
      </w:rPr>
      <w:t>ஆம்</w:t>
    </w:r>
    <w:r w:rsidR="00B97B54">
      <w:rPr>
        <w:rFonts w:cs="Calibri"/>
        <w:iCs/>
        <w:szCs w:val="20"/>
        <w:cs/>
        <w:lang w:bidi="ta-IN"/>
      </w:rPr>
      <w:t xml:space="preserve"> </w:t>
    </w:r>
    <w:r w:rsidR="00B97B54">
      <w:rPr>
        <w:rFonts w:cs="Latha"/>
        <w:iCs/>
        <w:szCs w:val="20"/>
        <w:cs/>
        <w:lang w:bidi="ta-IN"/>
      </w:rPr>
      <w:t>பக்கம்</w:t>
    </w:r>
    <w:r w:rsidR="006A482D">
      <w:rPr>
        <w:rFonts w:cs="Calibri"/>
        <w:iCs/>
        <w:szCs w:val="20"/>
        <w:cs/>
        <w:lang w:bidi="ta-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C3EC8" w14:textId="77777777" w:rsidR="00625AE4" w:rsidRDefault="00625AE4" w:rsidP="00FB1990">
      <w:pPr>
        <w:pStyle w:val="Spacer"/>
        <w:rPr>
          <w:rFonts w:cs="Calibri"/>
          <w:cs/>
          <w:lang w:bidi="ta-IN"/>
        </w:rPr>
      </w:pPr>
      <w:r>
        <w:separator/>
      </w:r>
    </w:p>
    <w:p w14:paraId="14F15BF2" w14:textId="77777777" w:rsidR="00625AE4" w:rsidRDefault="00625AE4" w:rsidP="00FB1990">
      <w:pPr>
        <w:pStyle w:val="Spacer"/>
        <w:rPr>
          <w:rFonts w:cs="Calibri"/>
          <w:cs/>
          <w:lang w:bidi="ta-IN"/>
        </w:rPr>
      </w:pPr>
    </w:p>
  </w:footnote>
  <w:footnote w:type="continuationSeparator" w:id="0">
    <w:p w14:paraId="4810D28F" w14:textId="77777777" w:rsidR="00625AE4" w:rsidRDefault="00625AE4">
      <w:pPr>
        <w:rPr>
          <w:rFonts w:cs="Calibri"/>
          <w:cs/>
          <w:lang w:bidi="ta-IN"/>
        </w:rPr>
      </w:pPr>
      <w:r>
        <w:continuationSeparator/>
      </w:r>
    </w:p>
    <w:p w14:paraId="486A9768" w14:textId="77777777" w:rsidR="00625AE4" w:rsidRDefault="00625AE4">
      <w:pPr>
        <w:rPr>
          <w:rFonts w:cs="Calibri"/>
          <w:cs/>
          <w:lang w:bidi="ta-IN"/>
        </w:rPr>
      </w:pPr>
    </w:p>
    <w:p w14:paraId="3C3F5A5B" w14:textId="77777777" w:rsidR="00625AE4" w:rsidRDefault="00625AE4">
      <w:pPr>
        <w:rPr>
          <w:rFonts w:cs="Calibri"/>
          <w:cs/>
          <w:lang w:bidi="ta-IN"/>
        </w:rPr>
      </w:pPr>
    </w:p>
  </w:footnote>
  <w:footnote w:type="continuationNotice" w:id="1">
    <w:p w14:paraId="1B0163C1" w14:textId="77777777" w:rsidR="00625AE4" w:rsidRDefault="00625AE4">
      <w:pPr>
        <w:spacing w:before="0" w:after="0"/>
        <w:rPr>
          <w:rFonts w:cs="Calibri"/>
          <w:cs/>
          <w:lang w:bidi="ta-I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943E" w14:textId="0F0B38BC" w:rsidR="0084693C" w:rsidRDefault="0084693C" w:rsidP="0084693C">
    <w:pPr>
      <w:pStyle w:val="Header"/>
      <w:jc w:val="center"/>
    </w:pPr>
    <w:r>
      <w:rPr>
        <w:noProof/>
      </w:rPr>
      <w:drawing>
        <wp:inline distT="0" distB="0" distL="0" distR="0" wp14:anchorId="3C8C39DF" wp14:editId="6A94F4FA">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997270043">
    <w:abstractNumId w:val="5"/>
  </w:num>
  <w:num w:numId="2" w16cid:durableId="595555956">
    <w:abstractNumId w:val="4"/>
  </w:num>
  <w:num w:numId="3" w16cid:durableId="170224272">
    <w:abstractNumId w:val="3"/>
  </w:num>
  <w:num w:numId="4" w16cid:durableId="640885109">
    <w:abstractNumId w:val="2"/>
  </w:num>
  <w:num w:numId="5" w16cid:durableId="1862667795">
    <w:abstractNumId w:val="1"/>
  </w:num>
  <w:num w:numId="6" w16cid:durableId="155346229">
    <w:abstractNumId w:val="0"/>
  </w:num>
  <w:num w:numId="7" w16cid:durableId="193350333">
    <w:abstractNumId w:val="16"/>
  </w:num>
  <w:num w:numId="8" w16cid:durableId="1322345960">
    <w:abstractNumId w:val="17"/>
  </w:num>
  <w:num w:numId="9" w16cid:durableId="1744716842">
    <w:abstractNumId w:val="14"/>
  </w:num>
  <w:num w:numId="10" w16cid:durableId="1530297272">
    <w:abstractNumId w:val="10"/>
  </w:num>
  <w:num w:numId="11" w16cid:durableId="1167596385">
    <w:abstractNumId w:val="18"/>
  </w:num>
  <w:num w:numId="12" w16cid:durableId="42600760">
    <w:abstractNumId w:val="20"/>
  </w:num>
  <w:num w:numId="13" w16cid:durableId="419104393">
    <w:abstractNumId w:val="22"/>
  </w:num>
  <w:num w:numId="14" w16cid:durableId="191040193">
    <w:abstractNumId w:val="7"/>
  </w:num>
  <w:num w:numId="15" w16cid:durableId="1454905534">
    <w:abstractNumId w:val="12"/>
  </w:num>
  <w:num w:numId="16" w16cid:durableId="1369254331">
    <w:abstractNumId w:val="23"/>
  </w:num>
  <w:num w:numId="17" w16cid:durableId="1148059658">
    <w:abstractNumId w:val="21"/>
  </w:num>
  <w:num w:numId="18" w16cid:durableId="755638745">
    <w:abstractNumId w:val="19"/>
  </w:num>
  <w:num w:numId="19" w16cid:durableId="702706761">
    <w:abstractNumId w:val="15"/>
  </w:num>
  <w:num w:numId="20" w16cid:durableId="1326468364">
    <w:abstractNumId w:val="13"/>
  </w:num>
  <w:num w:numId="21" w16cid:durableId="1312832477">
    <w:abstractNumId w:val="9"/>
  </w:num>
  <w:num w:numId="22" w16cid:durableId="1710646517">
    <w:abstractNumId w:val="6"/>
  </w:num>
  <w:num w:numId="23" w16cid:durableId="1984699979">
    <w:abstractNumId w:val="11"/>
  </w:num>
  <w:num w:numId="24" w16cid:durableId="3473665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068"/>
    <w:rsid w:val="00003360"/>
    <w:rsid w:val="00003FC7"/>
    <w:rsid w:val="00005919"/>
    <w:rsid w:val="00007C42"/>
    <w:rsid w:val="00015020"/>
    <w:rsid w:val="0001647B"/>
    <w:rsid w:val="00020010"/>
    <w:rsid w:val="00034673"/>
    <w:rsid w:val="00035630"/>
    <w:rsid w:val="00036671"/>
    <w:rsid w:val="00037226"/>
    <w:rsid w:val="000409E2"/>
    <w:rsid w:val="00044EA1"/>
    <w:rsid w:val="00053D93"/>
    <w:rsid w:val="00054574"/>
    <w:rsid w:val="0005507F"/>
    <w:rsid w:val="0005649A"/>
    <w:rsid w:val="0006107E"/>
    <w:rsid w:val="00063BB2"/>
    <w:rsid w:val="00065F18"/>
    <w:rsid w:val="00067005"/>
    <w:rsid w:val="00076035"/>
    <w:rsid w:val="00077013"/>
    <w:rsid w:val="00091C3A"/>
    <w:rsid w:val="00091FFD"/>
    <w:rsid w:val="00095B6D"/>
    <w:rsid w:val="000B4AA4"/>
    <w:rsid w:val="000D61F6"/>
    <w:rsid w:val="000E3240"/>
    <w:rsid w:val="000E677B"/>
    <w:rsid w:val="000E7E58"/>
    <w:rsid w:val="000F4ADF"/>
    <w:rsid w:val="000F61AF"/>
    <w:rsid w:val="0010171C"/>
    <w:rsid w:val="00102FAD"/>
    <w:rsid w:val="00107C69"/>
    <w:rsid w:val="00121870"/>
    <w:rsid w:val="001244E7"/>
    <w:rsid w:val="00126FDE"/>
    <w:rsid w:val="0013703F"/>
    <w:rsid w:val="00140ED2"/>
    <w:rsid w:val="00143E7C"/>
    <w:rsid w:val="0014415C"/>
    <w:rsid w:val="0014565E"/>
    <w:rsid w:val="00147324"/>
    <w:rsid w:val="001536C9"/>
    <w:rsid w:val="0016433D"/>
    <w:rsid w:val="00184C0F"/>
    <w:rsid w:val="00195FBB"/>
    <w:rsid w:val="001A5C4F"/>
    <w:rsid w:val="001A5F55"/>
    <w:rsid w:val="001A7E17"/>
    <w:rsid w:val="001C0031"/>
    <w:rsid w:val="001C0C30"/>
    <w:rsid w:val="001D0111"/>
    <w:rsid w:val="001D7EAE"/>
    <w:rsid w:val="001E64FC"/>
    <w:rsid w:val="001F0724"/>
    <w:rsid w:val="002007DF"/>
    <w:rsid w:val="00203300"/>
    <w:rsid w:val="00205FE8"/>
    <w:rsid w:val="00206BA3"/>
    <w:rsid w:val="002110DB"/>
    <w:rsid w:val="00215160"/>
    <w:rsid w:val="002224B4"/>
    <w:rsid w:val="00226D5E"/>
    <w:rsid w:val="00237A3D"/>
    <w:rsid w:val="00240E83"/>
    <w:rsid w:val="00244854"/>
    <w:rsid w:val="00246C2B"/>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2E7B45"/>
    <w:rsid w:val="002F06D3"/>
    <w:rsid w:val="002F5078"/>
    <w:rsid w:val="002F78E8"/>
    <w:rsid w:val="0030084C"/>
    <w:rsid w:val="003039E1"/>
    <w:rsid w:val="003129BA"/>
    <w:rsid w:val="003148FC"/>
    <w:rsid w:val="0032132E"/>
    <w:rsid w:val="00322A71"/>
    <w:rsid w:val="00330820"/>
    <w:rsid w:val="0034605E"/>
    <w:rsid w:val="003465C8"/>
    <w:rsid w:val="0037016B"/>
    <w:rsid w:val="00370FC0"/>
    <w:rsid w:val="00373206"/>
    <w:rsid w:val="003737ED"/>
    <w:rsid w:val="00375B80"/>
    <w:rsid w:val="00377352"/>
    <w:rsid w:val="003A10DA"/>
    <w:rsid w:val="003A12C8"/>
    <w:rsid w:val="003A6FFE"/>
    <w:rsid w:val="003A7695"/>
    <w:rsid w:val="003B3A23"/>
    <w:rsid w:val="003B6592"/>
    <w:rsid w:val="003C3EB1"/>
    <w:rsid w:val="003C772C"/>
    <w:rsid w:val="003E579D"/>
    <w:rsid w:val="003E68E2"/>
    <w:rsid w:val="003F1F7B"/>
    <w:rsid w:val="003F25FF"/>
    <w:rsid w:val="003F2B58"/>
    <w:rsid w:val="003F5886"/>
    <w:rsid w:val="0040020C"/>
    <w:rsid w:val="00401CA0"/>
    <w:rsid w:val="00404F5A"/>
    <w:rsid w:val="0040700B"/>
    <w:rsid w:val="00407F54"/>
    <w:rsid w:val="00411341"/>
    <w:rsid w:val="00413966"/>
    <w:rsid w:val="00415015"/>
    <w:rsid w:val="00415CDB"/>
    <w:rsid w:val="00422FEA"/>
    <w:rsid w:val="004231DC"/>
    <w:rsid w:val="0042551E"/>
    <w:rsid w:val="00433AD8"/>
    <w:rsid w:val="00437A53"/>
    <w:rsid w:val="00442D2D"/>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4B2"/>
    <w:rsid w:val="005675E0"/>
    <w:rsid w:val="00570A71"/>
    <w:rsid w:val="00570C00"/>
    <w:rsid w:val="00576AAA"/>
    <w:rsid w:val="0058206B"/>
    <w:rsid w:val="00585690"/>
    <w:rsid w:val="00591BDC"/>
    <w:rsid w:val="00594AAA"/>
    <w:rsid w:val="00595B33"/>
    <w:rsid w:val="0059662F"/>
    <w:rsid w:val="005B7254"/>
    <w:rsid w:val="005C2C59"/>
    <w:rsid w:val="005D3066"/>
    <w:rsid w:val="005E3259"/>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25AE4"/>
    <w:rsid w:val="00637753"/>
    <w:rsid w:val="006436E1"/>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C2989"/>
    <w:rsid w:val="006D638F"/>
    <w:rsid w:val="006D7384"/>
    <w:rsid w:val="006E50B6"/>
    <w:rsid w:val="006E7BF7"/>
    <w:rsid w:val="00702F2C"/>
    <w:rsid w:val="007068C8"/>
    <w:rsid w:val="00715B8F"/>
    <w:rsid w:val="00715F5A"/>
    <w:rsid w:val="0073106E"/>
    <w:rsid w:val="00752E09"/>
    <w:rsid w:val="00755142"/>
    <w:rsid w:val="00756BB7"/>
    <w:rsid w:val="0075764B"/>
    <w:rsid w:val="00760C01"/>
    <w:rsid w:val="00761293"/>
    <w:rsid w:val="00767C04"/>
    <w:rsid w:val="007736A2"/>
    <w:rsid w:val="007A6226"/>
    <w:rsid w:val="007B3C61"/>
    <w:rsid w:val="007B6FCC"/>
    <w:rsid w:val="007C0FB9"/>
    <w:rsid w:val="007C19B9"/>
    <w:rsid w:val="007C7063"/>
    <w:rsid w:val="007D1918"/>
    <w:rsid w:val="007F03F2"/>
    <w:rsid w:val="008031DF"/>
    <w:rsid w:val="008065D7"/>
    <w:rsid w:val="008111A3"/>
    <w:rsid w:val="00816E30"/>
    <w:rsid w:val="0082264B"/>
    <w:rsid w:val="0082765B"/>
    <w:rsid w:val="008352B1"/>
    <w:rsid w:val="008353E7"/>
    <w:rsid w:val="00835BD7"/>
    <w:rsid w:val="008428E8"/>
    <w:rsid w:val="00843D71"/>
    <w:rsid w:val="0084693C"/>
    <w:rsid w:val="00846F11"/>
    <w:rsid w:val="0084745A"/>
    <w:rsid w:val="008504D0"/>
    <w:rsid w:val="00865F2B"/>
    <w:rsid w:val="00870045"/>
    <w:rsid w:val="00873FA6"/>
    <w:rsid w:val="00876E5F"/>
    <w:rsid w:val="00884A12"/>
    <w:rsid w:val="00890CE4"/>
    <w:rsid w:val="00891ED7"/>
    <w:rsid w:val="008A2618"/>
    <w:rsid w:val="008B7B54"/>
    <w:rsid w:val="008C0BC7"/>
    <w:rsid w:val="008C3187"/>
    <w:rsid w:val="008C5E4F"/>
    <w:rsid w:val="008C6F26"/>
    <w:rsid w:val="008D074F"/>
    <w:rsid w:val="008D3367"/>
    <w:rsid w:val="008D63B7"/>
    <w:rsid w:val="008D6A03"/>
    <w:rsid w:val="008D6CA7"/>
    <w:rsid w:val="008E508C"/>
    <w:rsid w:val="008E7FEE"/>
    <w:rsid w:val="008F2AF4"/>
    <w:rsid w:val="008F2F06"/>
    <w:rsid w:val="008F31F5"/>
    <w:rsid w:val="008F67F5"/>
    <w:rsid w:val="008F6BCE"/>
    <w:rsid w:val="00900D4B"/>
    <w:rsid w:val="00905F9B"/>
    <w:rsid w:val="00913E95"/>
    <w:rsid w:val="009170B9"/>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2FDD"/>
    <w:rsid w:val="009968B0"/>
    <w:rsid w:val="009A28BA"/>
    <w:rsid w:val="009A6CB2"/>
    <w:rsid w:val="009A7F8E"/>
    <w:rsid w:val="009B0982"/>
    <w:rsid w:val="009B4C99"/>
    <w:rsid w:val="009C13FB"/>
    <w:rsid w:val="009D28CF"/>
    <w:rsid w:val="009D7F5F"/>
    <w:rsid w:val="009E5D36"/>
    <w:rsid w:val="009E6375"/>
    <w:rsid w:val="009E7CA0"/>
    <w:rsid w:val="00A04392"/>
    <w:rsid w:val="00A069CE"/>
    <w:rsid w:val="00A109D8"/>
    <w:rsid w:val="00A16003"/>
    <w:rsid w:val="00A167D7"/>
    <w:rsid w:val="00A23D39"/>
    <w:rsid w:val="00A23EC2"/>
    <w:rsid w:val="00A24FBB"/>
    <w:rsid w:val="00A330D3"/>
    <w:rsid w:val="00A33B01"/>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C4C0E"/>
    <w:rsid w:val="00AD6E77"/>
    <w:rsid w:val="00AD7A25"/>
    <w:rsid w:val="00AE2666"/>
    <w:rsid w:val="00AE478C"/>
    <w:rsid w:val="00AF3A5A"/>
    <w:rsid w:val="00AF3E15"/>
    <w:rsid w:val="00AF5218"/>
    <w:rsid w:val="00AF60A0"/>
    <w:rsid w:val="00B01A6F"/>
    <w:rsid w:val="00B0480E"/>
    <w:rsid w:val="00B1026A"/>
    <w:rsid w:val="00B11D93"/>
    <w:rsid w:val="00B21166"/>
    <w:rsid w:val="00B263AE"/>
    <w:rsid w:val="00B33A6C"/>
    <w:rsid w:val="00B34925"/>
    <w:rsid w:val="00B42F17"/>
    <w:rsid w:val="00B43A02"/>
    <w:rsid w:val="00B47091"/>
    <w:rsid w:val="00B56534"/>
    <w:rsid w:val="00B57A21"/>
    <w:rsid w:val="00B60F24"/>
    <w:rsid w:val="00B612D4"/>
    <w:rsid w:val="00B62C3E"/>
    <w:rsid w:val="00B645DE"/>
    <w:rsid w:val="00B65857"/>
    <w:rsid w:val="00B66698"/>
    <w:rsid w:val="00B745DC"/>
    <w:rsid w:val="00B83068"/>
    <w:rsid w:val="00B84350"/>
    <w:rsid w:val="00B855A6"/>
    <w:rsid w:val="00B91098"/>
    <w:rsid w:val="00B91904"/>
    <w:rsid w:val="00B92735"/>
    <w:rsid w:val="00B969ED"/>
    <w:rsid w:val="00B97B54"/>
    <w:rsid w:val="00BA2EB6"/>
    <w:rsid w:val="00BA77F1"/>
    <w:rsid w:val="00BB0D90"/>
    <w:rsid w:val="00BB60C6"/>
    <w:rsid w:val="00BB7984"/>
    <w:rsid w:val="00BC45F7"/>
    <w:rsid w:val="00BC5776"/>
    <w:rsid w:val="00BC6A06"/>
    <w:rsid w:val="00BD137C"/>
    <w:rsid w:val="00BE3BC7"/>
    <w:rsid w:val="00BF1AB7"/>
    <w:rsid w:val="00BF7FE9"/>
    <w:rsid w:val="00C03596"/>
    <w:rsid w:val="00C05EEC"/>
    <w:rsid w:val="00C15A13"/>
    <w:rsid w:val="00C238D9"/>
    <w:rsid w:val="00C24A9D"/>
    <w:rsid w:val="00C2677E"/>
    <w:rsid w:val="00C31542"/>
    <w:rsid w:val="00C32FD8"/>
    <w:rsid w:val="00C5028E"/>
    <w:rsid w:val="00C54E78"/>
    <w:rsid w:val="00C6078D"/>
    <w:rsid w:val="00C657CF"/>
    <w:rsid w:val="00C80D62"/>
    <w:rsid w:val="00C8388B"/>
    <w:rsid w:val="00C84944"/>
    <w:rsid w:val="00C87DE5"/>
    <w:rsid w:val="00C90217"/>
    <w:rsid w:val="00C96BFD"/>
    <w:rsid w:val="00C96C98"/>
    <w:rsid w:val="00CA5358"/>
    <w:rsid w:val="00CA799B"/>
    <w:rsid w:val="00CB0B17"/>
    <w:rsid w:val="00CB1DCA"/>
    <w:rsid w:val="00CC2912"/>
    <w:rsid w:val="00CD502A"/>
    <w:rsid w:val="00CF12CF"/>
    <w:rsid w:val="00CF4BE3"/>
    <w:rsid w:val="00D01F28"/>
    <w:rsid w:val="00D060D2"/>
    <w:rsid w:val="00D0792D"/>
    <w:rsid w:val="00D13E2D"/>
    <w:rsid w:val="00D14394"/>
    <w:rsid w:val="00D22C42"/>
    <w:rsid w:val="00D242CD"/>
    <w:rsid w:val="00D26F74"/>
    <w:rsid w:val="00D341C3"/>
    <w:rsid w:val="00D42843"/>
    <w:rsid w:val="00D5152A"/>
    <w:rsid w:val="00D560EB"/>
    <w:rsid w:val="00D65145"/>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53237"/>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02EC"/>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56327"/>
    <w:rsid w:val="00F6789A"/>
    <w:rsid w:val="00F709CA"/>
    <w:rsid w:val="00F727A5"/>
    <w:rsid w:val="00F82C41"/>
    <w:rsid w:val="00F847A9"/>
    <w:rsid w:val="00FA5FE9"/>
    <w:rsid w:val="00FA67D2"/>
    <w:rsid w:val="00FB1990"/>
    <w:rsid w:val="00FB302F"/>
    <w:rsid w:val="00FB5A92"/>
    <w:rsid w:val="00FC1C69"/>
    <w:rsid w:val="00FC3739"/>
    <w:rsid w:val="00FC3D7C"/>
    <w:rsid w:val="00FC5842"/>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ta-IN"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92D"/>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ta-IN"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ta-IN"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ta-IN"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ta-IN"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ta-IN"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ta-IN"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ta-IN"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ta-IN"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ta-IN"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val="ta-IN" w:eastAsia="en-US"/>
    </w:rPr>
  </w:style>
  <w:style w:type="character" w:customStyle="1" w:styleId="FooterChar">
    <w:name w:val="Footer Char"/>
    <w:basedOn w:val="DefaultParagraphFont"/>
    <w:link w:val="Footer"/>
    <w:rsid w:val="00065F18"/>
    <w:rPr>
      <w:rFonts w:eastAsiaTheme="minorHAnsi"/>
      <w:i/>
      <w:sz w:val="20"/>
      <w:lang w:val="ta-IN"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ta-IN"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val="ta-IN" w:eastAsia="en-US"/>
    </w:rPr>
  </w:style>
  <w:style w:type="character" w:customStyle="1" w:styleId="UnresolvedMention1">
    <w:name w:val="Unresolved Mention1"/>
    <w:basedOn w:val="DefaultParagraphFont"/>
    <w:uiPriority w:val="99"/>
    <w:semiHidden/>
    <w:unhideWhenUsed/>
    <w:rsid w:val="00BA2EB6"/>
    <w:rPr>
      <w:color w:val="605E5C"/>
      <w:shd w:val="clear" w:color="auto" w:fill="E1DFDD"/>
    </w:rPr>
  </w:style>
  <w:style w:type="paragraph" w:styleId="Revision">
    <w:name w:val="Revision"/>
    <w:hidden/>
    <w:uiPriority w:val="99"/>
    <w:semiHidden/>
    <w:rsid w:val="009A28BA"/>
    <w:pPr>
      <w:spacing w:before="0" w:after="0"/>
    </w:pPr>
    <w:rPr>
      <w:lang w:eastAsia="en-US"/>
    </w:rPr>
  </w:style>
  <w:style w:type="paragraph" w:styleId="CommentText">
    <w:name w:val="annotation text"/>
    <w:basedOn w:val="Normal"/>
    <w:link w:val="CommentTextChar"/>
    <w:uiPriority w:val="99"/>
    <w:semiHidden/>
    <w:rsid w:val="00053D93"/>
    <w:rPr>
      <w:sz w:val="20"/>
      <w:szCs w:val="20"/>
    </w:rPr>
  </w:style>
  <w:style w:type="character" w:customStyle="1" w:styleId="CommentTextChar">
    <w:name w:val="Comment Text Char"/>
    <w:basedOn w:val="DefaultParagraphFont"/>
    <w:link w:val="CommentText"/>
    <w:uiPriority w:val="99"/>
    <w:semiHidden/>
    <w:rsid w:val="00053D93"/>
    <w:rPr>
      <w:sz w:val="20"/>
      <w:szCs w:val="20"/>
      <w:lang w:eastAsia="en-US"/>
    </w:rPr>
  </w:style>
  <w:style w:type="paragraph" w:styleId="CommentSubject">
    <w:name w:val="annotation subject"/>
    <w:basedOn w:val="CommentText"/>
    <w:next w:val="CommentText"/>
    <w:link w:val="CommentSubjectChar"/>
    <w:uiPriority w:val="99"/>
    <w:semiHidden/>
    <w:rsid w:val="00053D93"/>
    <w:rPr>
      <w:b/>
      <w:bCs/>
    </w:rPr>
  </w:style>
  <w:style w:type="character" w:customStyle="1" w:styleId="CommentSubjectChar">
    <w:name w:val="Comment Subject Char"/>
    <w:basedOn w:val="CommentTextChar"/>
    <w:link w:val="CommentSubject"/>
    <w:uiPriority w:val="99"/>
    <w:semiHidden/>
    <w:rsid w:val="00053D9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 w:id="155060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EE2EF-F71E-44D7-A904-2423327E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2025-01-08T21:48:00Z</dcterms:created>
  <dcterms:modified xsi:type="dcterms:W3CDTF">2025-02-05T01:15:00Z</dcterms:modified>
</cp:coreProperties>
</file>