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BF307" w14:textId="77777777" w:rsidR="00D072DF" w:rsidRPr="00D072DF" w:rsidRDefault="001C1FEF" w:rsidP="00D072DF">
      <w:pPr>
        <w:tabs>
          <w:tab w:val="left" w:pos="1029"/>
        </w:tabs>
        <w:spacing w:before="100" w:beforeAutospacing="1" w:after="120"/>
        <w:rPr>
          <w:rStyle w:val="Heading1Char"/>
          <w:rFonts w:ascii="Acumin Pro" w:hAnsi="Acumin Pro"/>
          <w:bCs w:val="0"/>
          <w:color w:val="00908B"/>
          <w:sz w:val="62"/>
          <w:szCs w:val="62"/>
        </w:rPr>
      </w:pPr>
      <w:r>
        <w:rPr>
          <w:rFonts w:ascii="Acumin Pro" w:hAnsi="Acumin Pro"/>
          <w:b/>
          <w:bCs/>
          <w:noProof/>
          <w:color w:val="00908B"/>
          <w:kern w:val="32"/>
          <w:sz w:val="48"/>
          <w:szCs w:val="48"/>
        </w:rPr>
        <w:drawing>
          <wp:anchor distT="0" distB="0" distL="114300" distR="114300" simplePos="0" relativeHeight="251658244" behindDoc="1" locked="0" layoutInCell="1" allowOverlap="1" wp14:anchorId="3E95CC6F" wp14:editId="12DC1BBD">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olor w:val="00908B"/>
          <w:sz w:val="48"/>
          <w:szCs w:val="48"/>
        </w:rPr>
        <w:tab/>
      </w:r>
      <w:r w:rsidR="00782BA3">
        <w:rPr>
          <w:rStyle w:val="Heading1Char"/>
          <w:rFonts w:ascii="Acumin Pro" w:hAnsi="Acumin Pro"/>
          <w:color w:val="00908B"/>
          <w:sz w:val="48"/>
          <w:szCs w:val="48"/>
        </w:rPr>
        <w:br/>
      </w:r>
      <w:r w:rsidR="00782BA3">
        <w:rPr>
          <w:rStyle w:val="Heading1Char"/>
          <w:rFonts w:ascii="Acumin Pro" w:hAnsi="Acumin Pro"/>
          <w:color w:val="00908B"/>
          <w:sz w:val="62"/>
          <w:szCs w:val="62"/>
        </w:rPr>
        <w:br/>
      </w:r>
      <w:r w:rsidR="00D072DF" w:rsidRPr="00D072DF">
        <w:rPr>
          <w:rStyle w:val="Heading1Char"/>
          <w:rFonts w:ascii="Acumin Pro" w:hAnsi="Acumin Pro"/>
          <w:bCs w:val="0"/>
          <w:color w:val="00908B"/>
          <w:sz w:val="62"/>
        </w:rPr>
        <w:t>Іноземне втручання в Новій Зеландії</w:t>
      </w:r>
    </w:p>
    <w:p w14:paraId="731D26E5" w14:textId="0F5751A7" w:rsidR="001E1F6B" w:rsidRPr="009B236A" w:rsidRDefault="00701A9B" w:rsidP="00D072DF">
      <w:pPr>
        <w:tabs>
          <w:tab w:val="left" w:pos="1029"/>
        </w:tabs>
        <w:spacing w:before="100" w:beforeAutospacing="1" w:after="120"/>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3853F633">
                <wp:simplePos x="0" y="0"/>
                <wp:positionH relativeFrom="margin">
                  <wp:align>center</wp:align>
                </wp:positionH>
                <wp:positionV relativeFrom="paragraph">
                  <wp:posOffset>127000</wp:posOffset>
                </wp:positionV>
                <wp:extent cx="5978525" cy="2781300"/>
                <wp:effectExtent l="19050" t="19050" r="41275" b="38100"/>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2781300"/>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2E6ACC66"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Служба безпеки та розвідки Нової Зеландії (NZSIS) визначає </w:t>
                            </w:r>
                            <w:r>
                              <w:rPr>
                                <w:rFonts w:ascii="Acumin Pro" w:hAnsi="Acumin Pro"/>
                                <w:color w:val="000000" w:themeColor="text1"/>
                              </w:rPr>
                              <w:t>іноземне втручання як дію іноземної держави, яка часто діє через довірену особу, яка має на меті вплинути, порушити або підірвати національні інтереси Нової Зеландії обманними, корупційними або примусовими засобами. Звичайна дипломатична діяльність, лобіювання та інші справжні, відкриті спроби отримати вплив не вважаються втручанням.</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У цих прикладах «іноземна держава» означає </w:t>
                            </w:r>
                            <w:r w:rsidRPr="00A74EFB">
                              <w:rPr>
                                <w:rFonts w:ascii="Acumin Pro" w:hAnsi="Acumin Pro"/>
                                <w:b/>
                                <w:bCs/>
                                <w:color w:val="000000" w:themeColor="text1"/>
                              </w:rPr>
                              <w:t>будь-яку країну, крім Нової Зеландії</w:t>
                            </w:r>
                            <w:r>
                              <w:rPr>
                                <w:rFonts w:ascii="Acumin Pro" w:hAnsi="Acumin Pro"/>
                                <w:color w:val="000000" w:themeColor="text1"/>
                              </w:rPr>
                              <w:t>. Цей термін використовується для позначення країн за межами Нової Зеландії.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10pt;width:470.75pt;height:219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78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" adj="-11796480,,5400" path="m401036,l5978525,r,l5978525,2380264v,221486,-179550,401036,-401036,401036l,2781300r,l,401036c,179550,179550,,401036,xe" fillcolor="#aed5da" strokecolor="#007472" strokeweight="4.5pt">
                <v:stroke joinstyle="miter"/>
                <v:formulas/>
                <v:path arrowok="t" o:connecttype="custom" o:connectlocs="401036,0;5978525,0;5978525,0;5978525,2380264;5577489,2781300;0,2781300;0,2781300;0,401036;401036,0" o:connectangles="0,0,0,0,0,0,0,0,0" textboxrect="0,0,5978525,2781300"/>
                <v:textbox>
                  <w:txbxContent>
                    <w:p w14:paraId="59187410" w14:textId="2E6ACC66"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Служба безпеки та розвідки Нової Зеландії (NZSIS) визначає </w:t>
                      </w:r>
                      <w:r>
                        <w:rPr>
                          <w:rFonts w:ascii="Acumin Pro" w:hAnsi="Acumin Pro"/>
                          <w:color w:val="000000" w:themeColor="text1"/>
                        </w:rPr>
                        <w:t>іноземне втручання як дію іноземної держави, яка часто діє через довірену особу, яка має на меті вплинути, порушити або підірвати національні інтереси Нової Зеландії обманними, корупційними або примусовими засобами. Звичайна дипломатична діяльність, лобіювання та інші справжні, відкриті спроби отримати вплив не вважаються втручанням.</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У цих прикладах «іноземна держава» означає </w:t>
                      </w:r>
                      <w:r w:rsidRPr="00A74EFB">
                        <w:rPr>
                          <w:rFonts w:ascii="Acumin Pro" w:hAnsi="Acumin Pro"/>
                          <w:b/>
                          <w:bCs/>
                          <w:color w:val="000000" w:themeColor="text1"/>
                        </w:rPr>
                        <w:t>будь-яку країну, крім Нової Зеландії</w:t>
                      </w:r>
                      <w:r>
                        <w:rPr>
                          <w:rFonts w:ascii="Acumin Pro" w:hAnsi="Acumin Pro"/>
                          <w:color w:val="000000" w:themeColor="text1"/>
                        </w:rPr>
                        <w:t>. Цей термін використовується для позначення країн за межами Нової Зеландії.</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47DCFE6A" w14:textId="20993600" w:rsidR="00A24DBB" w:rsidRPr="00810F27" w:rsidRDefault="00A24DBB" w:rsidP="00B17CDD">
      <w:pPr>
        <w:spacing w:after="180"/>
        <w:rPr>
          <w:rFonts w:ascii="Acumin Pro" w:hAnsi="Acumin Pro"/>
          <w:b/>
          <w:bCs/>
          <w:color w:val="00908B"/>
          <w:sz w:val="26"/>
          <w:szCs w:val="26"/>
        </w:rPr>
      </w:pPr>
      <w:r>
        <w:rPr>
          <w:rFonts w:ascii="Acumin Pro" w:hAnsi="Acumin Pro"/>
          <w:b/>
          <w:color w:val="00908B"/>
          <w:sz w:val="38"/>
        </w:rPr>
        <w:t xml:space="preserve">Іноземне втручання завдає шкоди правам і свободам етнічних громад </w:t>
      </w:r>
    </w:p>
    <w:p w14:paraId="3E338BFE" w14:textId="36176B97" w:rsidR="00810F27" w:rsidRDefault="00C81D04" w:rsidP="00810F27">
      <w:pPr>
        <w:spacing w:before="0" w:after="0" w:line="276" w:lineRule="auto"/>
        <w:rPr>
          <w:rFonts w:ascii="Acumin Pro" w:hAnsi="Acumin Pro"/>
          <w:sz w:val="22"/>
          <w:szCs w:val="22"/>
        </w:rPr>
      </w:pPr>
      <w:r>
        <w:rPr>
          <w:rFonts w:ascii="Acumin Pro" w:hAnsi="Acumin Pro"/>
          <w:sz w:val="22"/>
        </w:rPr>
        <w:t>Іноземне втручання — це коли іноземні держави намагаються втручатися в діяльність Нової Зеландії для досягнення власних цілей. Ці іноземні держави хочуть контролювати та змінювати суспільство, інтереси та поведінку Нової Зеландії. Вони роблять це, щоб мати більше впливу та контролю.</w:t>
      </w:r>
    </w:p>
    <w:p w14:paraId="23101E78" w14:textId="77777777" w:rsidR="00810F27" w:rsidRDefault="00810F27" w:rsidP="00810F27">
      <w:pPr>
        <w:spacing w:before="0" w:after="0" w:line="276" w:lineRule="auto"/>
        <w:rPr>
          <w:rFonts w:ascii="Acumin Pro" w:hAnsi="Acumin Pro"/>
          <w:sz w:val="22"/>
          <w:szCs w:val="22"/>
        </w:rPr>
      </w:pPr>
    </w:p>
    <w:p w14:paraId="2F7EF1C7" w14:textId="3CC4612A" w:rsidR="0011154D" w:rsidRDefault="00C81D04" w:rsidP="00810F27">
      <w:pPr>
        <w:spacing w:before="0" w:after="0" w:line="276" w:lineRule="auto"/>
        <w:rPr>
          <w:rFonts w:ascii="Acumin Pro" w:hAnsi="Acumin Pro"/>
          <w:sz w:val="22"/>
          <w:szCs w:val="22"/>
        </w:rPr>
      </w:pPr>
      <w:r>
        <w:rPr>
          <w:rFonts w:ascii="Acumin Pro" w:hAnsi="Acumin Pro"/>
          <w:sz w:val="22"/>
        </w:rPr>
        <w:t xml:space="preserve">Іноземне втручання завдає шкоди незалежності, демократії, економіці, репутації та громадам Нової Зеландії. Етнічні громади в Новій Зеландії можуть отримати небажану увагу з боку іноземних держав, що змусить їх почуватися в </w:t>
      </w:r>
      <w:r w:rsidR="009C1862">
        <w:rPr>
          <w:rFonts w:asciiTheme="minorHAnsi" w:hAnsiTheme="minorHAnsi"/>
          <w:sz w:val="22"/>
        </w:rPr>
        <w:t>не</w:t>
      </w:r>
      <w:r>
        <w:rPr>
          <w:rFonts w:ascii="Acumin Pro" w:hAnsi="Acumin Pro"/>
          <w:sz w:val="22"/>
        </w:rPr>
        <w:t xml:space="preserve">безпеці та завдасть шкоди їхнім правам і свободам. Нормальна дипломатична діяльність між країнами не є іноземним втручанням. </w:t>
      </w:r>
    </w:p>
    <w:p w14:paraId="4B3AEEA5" w14:textId="5ECE90B0" w:rsidR="0011154D" w:rsidRPr="007329D7" w:rsidRDefault="007329D7">
      <w:pPr>
        <w:keepLines w:val="0"/>
        <w:rPr>
          <w:rFonts w:ascii="Acumin Pro" w:hAnsi="Acumin Pro"/>
          <w:sz w:val="22"/>
          <w:szCs w:val="22"/>
        </w:rPr>
      </w:pPr>
      <w:r>
        <w:rPr>
          <w:rFonts w:ascii="Acumin Pro" w:hAnsi="Acumin Pro"/>
          <w:sz w:val="22"/>
          <w:szCs w:val="22"/>
        </w:rPr>
        <w:br w:type="page"/>
      </w:r>
    </w:p>
    <w:p w14:paraId="6CA91E91" w14:textId="30B9602A"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01990DB0">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v:textbox>
                <w10:wrap anchorx="margin"/>
              </v:shape>
            </w:pict>
          </mc:Fallback>
        </mc:AlternateContent>
      </w:r>
      <w:r w:rsidR="00A74EFB">
        <w:rPr>
          <w:rFonts w:ascii="Acumin Pro" w:hAnsi="Acumin Pro"/>
          <w:b/>
          <w:bCs/>
          <w:color w:val="00908B"/>
          <w:sz w:val="38"/>
          <w:szCs w:val="38"/>
        </w:rPr>
        <w:br/>
      </w:r>
      <w:r>
        <w:rPr>
          <w:rFonts w:ascii="Acumin Pro" w:hAnsi="Acumin Pro"/>
          <w:b/>
          <w:color w:val="00908B"/>
          <w:sz w:val="40"/>
        </w:rPr>
        <w:t>Як етнічні громади можуть піддаватися іноземному втручанню?</w:t>
      </w:r>
    </w:p>
    <w:p w14:paraId="2F0689CD" w14:textId="6EB88A50" w:rsidR="00C81D04" w:rsidRPr="0011154D" w:rsidRDefault="00C81D04" w:rsidP="007329D7">
      <w:pPr>
        <w:spacing w:line="276" w:lineRule="auto"/>
        <w:rPr>
          <w:rFonts w:ascii="Acumin Pro" w:hAnsi="Acumin Pro"/>
          <w:b/>
          <w:bCs/>
          <w:sz w:val="22"/>
          <w:szCs w:val="22"/>
        </w:rPr>
      </w:pPr>
      <w:r>
        <w:rPr>
          <w:rFonts w:ascii="Acumin Pro" w:hAnsi="Acumin Pro"/>
          <w:sz w:val="22"/>
        </w:rPr>
        <w:t xml:space="preserve">Іноземне втручання, з яким стикаються етнічні громади, може бути важко помітним. Ось кілька прикладів іноземного втручання іноземної держави або іншої особи, яка здійснює іноземне втручання для </w:t>
      </w:r>
      <w:r w:rsidR="009C1862">
        <w:rPr>
          <w:rFonts w:asciiTheme="minorHAnsi" w:hAnsiTheme="minorHAnsi"/>
          <w:sz w:val="22"/>
        </w:rPr>
        <w:t>іноземної держави</w:t>
      </w:r>
      <w:r>
        <w:rPr>
          <w:rFonts w:ascii="Acumin Pro" w:hAnsi="Acumin Pro"/>
          <w:sz w:val="22"/>
        </w:rPr>
        <w:t xml:space="preserve"> у Новій Зеландії:</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4"/>
          <w:headerReference w:type="first" r:id="rId15"/>
          <w:footerReference w:type="first" r:id="rId16"/>
          <w:pgSz w:w="11907" w:h="16840" w:code="9"/>
          <w:pgMar w:top="1418" w:right="1418" w:bottom="992" w:left="1418" w:header="425" w:footer="635" w:gutter="0"/>
          <w:cols w:space="708"/>
          <w:titlePg/>
          <w:docGrid w:linePitch="360"/>
        </w:sectPr>
      </w:pPr>
    </w:p>
    <w:p w14:paraId="28E15152" w14:textId="339CB6CD"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спроба контролювати та залякувати громади або громадські організації/групи</w:t>
      </w:r>
    </w:p>
    <w:p w14:paraId="66F97414" w14:textId="36AA38F6"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відмова від оформлення чи видачі офіційних документів з метою утиску, залякування та контролю за громадами та їхніми діями</w:t>
      </w:r>
    </w:p>
    <w:p w14:paraId="0AE71370" w14:textId="71585BD0"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відібрання або погрози вилучення віз, паспортів чи інших офіційних документів у людей у Новій Зеландії з метою переслідування, залякування та контролю за громадами та їхніми діями </w:t>
      </w:r>
    </w:p>
    <w:p w14:paraId="5DE15FF1" w14:textId="33229617" w:rsidR="00C81D04" w:rsidRPr="0011154D" w:rsidRDefault="00DA76F6"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04B20FF9">
            <wp:simplePos x="0" y="0"/>
            <wp:positionH relativeFrom="margin">
              <wp:align>center</wp:align>
            </wp:positionH>
            <wp:positionV relativeFrom="paragraph">
              <wp:posOffset>885190</wp:posOffset>
            </wp:positionV>
            <wp:extent cx="6167755" cy="4067900"/>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7755" cy="406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 xml:space="preserve">погрози людям у Новій Зеландії або їхнім родинам, які живуть за кордоном (включаючи погрози та переслідування через соціальні мережі) </w:t>
      </w:r>
    </w:p>
    <w:p w14:paraId="533D1707" w14:textId="27A2FF2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примушування людей повертатися до країни походження проти їхньої волі</w:t>
      </w:r>
      <w:r w:rsidR="003108E7">
        <w:rPr>
          <w:rFonts w:ascii="Acumin Pro" w:hAnsi="Acumin Pro"/>
          <w:sz w:val="22"/>
          <w:szCs w:val="22"/>
        </w:rPr>
        <w:br/>
      </w:r>
    </w:p>
    <w:p w14:paraId="113F31A4" w14:textId="4878F4FF" w:rsidR="003108E7" w:rsidRPr="003108E7" w:rsidRDefault="003108E7" w:rsidP="003108E7">
      <w:pPr>
        <w:pStyle w:val="ListParagraph"/>
        <w:numPr>
          <w:ilvl w:val="0"/>
          <w:numId w:val="25"/>
        </w:numPr>
        <w:spacing w:after="120"/>
        <w:ind w:left="714" w:hanging="357"/>
        <w:rPr>
          <w:rFonts w:ascii="Acumin Pro" w:hAnsi="Acumin Pro"/>
          <w:sz w:val="22"/>
          <w:szCs w:val="22"/>
        </w:rPr>
      </w:pPr>
      <w:r w:rsidRPr="003108E7">
        <w:rPr>
          <w:rFonts w:ascii="Acumin Pro" w:hAnsi="Acumin Pro"/>
          <w:sz w:val="22"/>
          <w:szCs w:val="22"/>
        </w:rPr>
        <w:br w:type="column"/>
      </w:r>
      <w:r>
        <w:rPr>
          <w:rFonts w:ascii="Acumin Pro" w:hAnsi="Acumin Pro"/>
          <w:sz w:val="22"/>
        </w:rPr>
        <w:t>несанкціоноване спостереження та моніторинг громади з боку іноземної держави з метою погроз або залякування людей</w:t>
      </w:r>
    </w:p>
    <w:p w14:paraId="7958A2FD" w14:textId="68A59083"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намагання перешкодити певним групам або громадам відкрито ділитися своїми поглядами чи думками, які відрізняються від поглядів іноземної держави, використовуючи погрози або залякування</w:t>
      </w:r>
    </w:p>
    <w:p w14:paraId="5871C7A2" w14:textId="1E1D9531"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спроби зупинити події, що відбуваються в Новій Зеландії, щоб перешкодити людям висловлювати свої думки чи переконання, з якими іноземна держава не згодна</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передача погроз від іноземної держави громаді в Новій Зеландії</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спроба змінити те, як працюють вибори та інші демократичні процеси</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3AD4F" w14:textId="77777777" w:rsidR="008B2DD2" w:rsidRDefault="008B2DD2">
      <w:r>
        <w:separator/>
      </w:r>
    </w:p>
    <w:p w14:paraId="7F1C778D" w14:textId="77777777" w:rsidR="008B2DD2" w:rsidRDefault="008B2DD2"/>
    <w:p w14:paraId="022363D9" w14:textId="77777777" w:rsidR="008B2DD2" w:rsidRDefault="008B2DD2"/>
  </w:endnote>
  <w:endnote w:type="continuationSeparator" w:id="0">
    <w:p w14:paraId="5A684A60" w14:textId="77777777" w:rsidR="008B2DD2" w:rsidRDefault="008B2DD2">
      <w:r>
        <w:continuationSeparator/>
      </w:r>
    </w:p>
    <w:p w14:paraId="6DFA2096" w14:textId="77777777" w:rsidR="008B2DD2" w:rsidRDefault="008B2DD2"/>
    <w:p w14:paraId="2FC100EC" w14:textId="77777777" w:rsidR="008B2DD2" w:rsidRDefault="008B2DD2"/>
  </w:endnote>
  <w:endnote w:type="continuationNotice" w:id="1">
    <w:p w14:paraId="1B5A821E" w14:textId="77777777" w:rsidR="008B2DD2" w:rsidRDefault="008B2DD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*Цей </w:t>
    </w:r>
    <w:r>
      <w:rPr>
        <w:rFonts w:ascii="Acumin Pro" w:hAnsi="Acumin Pro"/>
        <w:sz w:val="18"/>
      </w:rPr>
      <w:t xml:space="preserve">матеріал адаптовано зі </w:t>
    </w:r>
    <w:hyperlink r:id="rId1" w:history="1">
      <w:r>
        <w:rPr>
          <w:rStyle w:val="Hyperlink"/>
          <w:rFonts w:ascii="Acumin Pro" w:hAnsi="Acumin Pro"/>
          <w:b/>
          <w:sz w:val="18"/>
        </w:rPr>
        <w:t xml:space="preserve">звіту NZSIS за 2024 рік: Середовище загроз безпеці Нової Зеландії </w:t>
      </w:r>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601C5" w14:textId="77777777" w:rsidR="008B2DD2" w:rsidRDefault="008B2DD2" w:rsidP="00FB1990">
      <w:pPr>
        <w:pStyle w:val="Spacer"/>
      </w:pPr>
      <w:r>
        <w:separator/>
      </w:r>
    </w:p>
    <w:p w14:paraId="378E9E5C" w14:textId="77777777" w:rsidR="008B2DD2" w:rsidRDefault="008B2DD2" w:rsidP="00FB1990">
      <w:pPr>
        <w:pStyle w:val="Spacer"/>
      </w:pPr>
    </w:p>
  </w:footnote>
  <w:footnote w:type="continuationSeparator" w:id="0">
    <w:p w14:paraId="334B6460" w14:textId="77777777" w:rsidR="008B2DD2" w:rsidRDefault="008B2DD2">
      <w:r>
        <w:continuationSeparator/>
      </w:r>
    </w:p>
    <w:p w14:paraId="6E568852" w14:textId="77777777" w:rsidR="008B2DD2" w:rsidRDefault="008B2DD2"/>
    <w:p w14:paraId="08B89CA4" w14:textId="77777777" w:rsidR="008B2DD2" w:rsidRDefault="008B2DD2"/>
  </w:footnote>
  <w:footnote w:type="continuationNotice" w:id="1">
    <w:p w14:paraId="0864B036" w14:textId="77777777" w:rsidR="008B2DD2" w:rsidRDefault="008B2DD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4F64EB" w:rsidRDefault="004F64EB" w:rsidP="004F64EB">
    <w:pPr>
      <w:pStyle w:val="Header"/>
      <w:jc w:val="center"/>
      <w:rPr>
        <w:rFonts w:ascii="Acumin Pro" w:hAnsi="Acumin Pro"/>
        <w:sz w:val="20"/>
        <w:szCs w:val="20"/>
      </w:rPr>
    </w:pPr>
    <w:r>
      <w:rPr>
        <w:rFonts w:ascii="Acumin Pro" w:hAnsi="Acumin Pro"/>
        <w:b/>
        <w:sz w:val="20"/>
      </w:rPr>
      <w:t xml:space="preserve">Іноземне втручання завдає шкоди правам і свободам людей у Новій Зеландії </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Content>
        <w:r>
          <w:rPr>
            <w:rFonts w:ascii="Acumin Pro" w:hAnsi="Acumin Pro"/>
            <w:sz w:val="20"/>
            <w:szCs w:val="20"/>
          </w:rPr>
          <w:br/>
        </w:r>
        <w:r>
          <w:rPr>
            <w:rFonts w:ascii="Acumin Pro" w:hAnsi="Acumin Pro"/>
            <w:sz w:val="20"/>
          </w:rP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Pr>
            <w:rFonts w:ascii="Acumin Pro" w:hAnsi="Acumin Pro"/>
            <w:sz w:val="20"/>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4423"/>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D6487"/>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446D4"/>
    <w:rsid w:val="002502D1"/>
    <w:rsid w:val="002551E0"/>
    <w:rsid w:val="00260A17"/>
    <w:rsid w:val="00270EEC"/>
    <w:rsid w:val="002777D8"/>
    <w:rsid w:val="002806A2"/>
    <w:rsid w:val="00297CC7"/>
    <w:rsid w:val="002A0B0F"/>
    <w:rsid w:val="002A194F"/>
    <w:rsid w:val="002A462A"/>
    <w:rsid w:val="002A4BD9"/>
    <w:rsid w:val="002A4FE7"/>
    <w:rsid w:val="002B1CEB"/>
    <w:rsid w:val="002C6202"/>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68"/>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3A8"/>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3F1C"/>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231D1"/>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2DD2"/>
    <w:rsid w:val="008B7B54"/>
    <w:rsid w:val="008C3187"/>
    <w:rsid w:val="008C5674"/>
    <w:rsid w:val="008C5E4F"/>
    <w:rsid w:val="008D63B7"/>
    <w:rsid w:val="008D6A03"/>
    <w:rsid w:val="008D6CA7"/>
    <w:rsid w:val="008E508C"/>
    <w:rsid w:val="008E763A"/>
    <w:rsid w:val="008E7FEE"/>
    <w:rsid w:val="008F2F06"/>
    <w:rsid w:val="008F3148"/>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A6F92"/>
    <w:rsid w:val="009B0982"/>
    <w:rsid w:val="009B4C99"/>
    <w:rsid w:val="009C13FB"/>
    <w:rsid w:val="009C1862"/>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013E"/>
    <w:rsid w:val="00B42F17"/>
    <w:rsid w:val="00B43A02"/>
    <w:rsid w:val="00B47091"/>
    <w:rsid w:val="00B54F45"/>
    <w:rsid w:val="00B56534"/>
    <w:rsid w:val="00B57A21"/>
    <w:rsid w:val="00B60C08"/>
    <w:rsid w:val="00B60F24"/>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072DF"/>
    <w:rsid w:val="00D1102C"/>
    <w:rsid w:val="00D13E2D"/>
    <w:rsid w:val="00D14394"/>
    <w:rsid w:val="00D242CD"/>
    <w:rsid w:val="00D26F74"/>
    <w:rsid w:val="00D341C3"/>
    <w:rsid w:val="00D3779F"/>
    <w:rsid w:val="00D42843"/>
    <w:rsid w:val="00D43DB5"/>
    <w:rsid w:val="00D463F8"/>
    <w:rsid w:val="00D5152A"/>
    <w:rsid w:val="00D560EB"/>
    <w:rsid w:val="00D65145"/>
    <w:rsid w:val="00D657D5"/>
    <w:rsid w:val="00D73D87"/>
    <w:rsid w:val="00D74314"/>
    <w:rsid w:val="00D81410"/>
    <w:rsid w:val="00D92505"/>
    <w:rsid w:val="00DA267C"/>
    <w:rsid w:val="00DA27B3"/>
    <w:rsid w:val="00DA3EA9"/>
    <w:rsid w:val="00DA5101"/>
    <w:rsid w:val="00DA5FE9"/>
    <w:rsid w:val="00DA76F6"/>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4317"/>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uk-UA"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uk-UA"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uk-UA"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uk-UA"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uk-UA"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uk-UA"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uk-UA"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uk-UA"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uk-UA"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uk-UA"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uk-UA" w:eastAsia="en-US"/>
    </w:rPr>
  </w:style>
  <w:style w:type="character" w:customStyle="1" w:styleId="FooterChar">
    <w:name w:val="Footer Char"/>
    <w:basedOn w:val="DefaultParagraphFont"/>
    <w:link w:val="Footer"/>
    <w:rsid w:val="00065F18"/>
    <w:rPr>
      <w:rFonts w:eastAsiaTheme="minorHAnsi"/>
      <w:i/>
      <w:sz w:val="20"/>
      <w:lang w:val="uk-UA"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uk-UA"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uk-UA"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uk-UA"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uk-UA"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lcf76f155ced4ddcb4097134ff3c332f xmlns="11cc6b14-7fce-430e-b961-eeb3627faed4">
      <Terms xmlns="http://schemas.microsoft.com/office/infopath/2007/PartnerControls"/>
    </lcf76f155ced4ddcb4097134ff3c332f>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ZHNFQZVQ3Y4V-1257920297-5670</_dlc_DocId>
    <_dlc_DocIdUrl xmlns="f241499f-97c4-44af-badf-d067f056cf3c">
      <Url>https://azurediagovt.sharepoint.com/sites/ECMS-CMT-ETC-PLM-PLI-FI/_layouts/15/DocIdRedir.aspx?ID=ZHNFQZVQ3Y4V-1257920297-5670</Url>
      <Description>ZHNFQZVQ3Y4V-1257920297-5670</Description>
    </_dlc_DocIdUrl>
  </documentManagement>
</p:propertie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CC071C83-C5E4-4DDB-A034-2097626F00DE}">
  <ds:schemaRefs>
    <ds:schemaRef ds:uri="http://schemas.microsoft.com/sharepoint/events"/>
  </ds:schemaRefs>
</ds:datastoreItem>
</file>

<file path=customXml/itemProps2.xml><?xml version="1.0" encoding="utf-8"?>
<ds:datastoreItem xmlns:ds="http://schemas.openxmlformats.org/officeDocument/2006/customXml" ds:itemID="{AD4B314B-4BA3-4D12-91B4-379639D2F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EB8B830C-C66F-4447-8A20-8A30831AA1DB}">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5.xml><?xml version="1.0" encoding="utf-8"?>
<ds:datastoreItem xmlns:ds="http://schemas.openxmlformats.org/officeDocument/2006/customXml" ds:itemID="{336B6230-C7E1-4753-9B10-389DDA4993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2025-01-08T22:10:00Z</dcterms:created>
  <dcterms:modified xsi:type="dcterms:W3CDTF">2025-07-31T23:05:00Z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c4e02c960b5544139e8046d663add723">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_dlc_DocIdItemGuid">
    <vt:lpwstr>785bfe46-d596-4b7e-8b09-4fa2ed3a619f</vt:lpwstr>
  </property>
  <property fmtid="{D5CDD505-2E9C-101B-9397-08002B2CF9AE}" pid="6" name="TaxKeyword">
    <vt:lpwstr/>
  </property>
  <property fmtid="{D5CDD505-2E9C-101B-9397-08002B2CF9AE}" pid="7" name="d545d1b5010243bcae2cac870a559cbd">
    <vt:lpwstr/>
  </property>
  <property fmtid="{D5CDD505-2E9C-101B-9397-08002B2CF9AE}" pid="8" name="DIALegislation">
    <vt:lpwstr/>
  </property>
  <property fmtid="{D5CDD505-2E9C-101B-9397-08002B2CF9AE}" pid="9" name="a43c847a0bb444b9ba08276b667d1291">
    <vt:lpwstr/>
  </property>
  <property fmtid="{D5CDD505-2E9C-101B-9397-08002B2CF9AE}" pid="10" name="MediaServiceImageTags">
    <vt:lpwstr/>
  </property>
  <property fmtid="{D5CDD505-2E9C-101B-9397-08002B2CF9AE}" pid="11" name="aa0293da76ee462da8ea97e7ed70c5ee">
    <vt:lpwstr/>
  </property>
  <property fmtid="{D5CDD505-2E9C-101B-9397-08002B2CF9AE}" pid="12" name="DIAReportDocumentType">
    <vt:lpwstr/>
  </property>
  <property fmtid="{D5CDD505-2E9C-101B-9397-08002B2CF9AE}" pid="13" name="fb4cec6bda93410d8ae43a0f8dc367a2">
    <vt:lpwstr/>
  </property>
  <property fmtid="{D5CDD505-2E9C-101B-9397-08002B2CF9AE}" pid="14" name="DIAEmailContentType">
    <vt:lpwstr>3;#Correspondence|dcd6b05f-dc80-4336-b228-09aebf3d212c</vt:lpwstr>
  </property>
  <property fmtid="{D5CDD505-2E9C-101B-9397-08002B2CF9AE}" pid="15" name="DIAMeetingDocumentType">
    <vt:lpwstr/>
  </property>
  <property fmtid="{D5CDD505-2E9C-101B-9397-08002B2CF9AE}" pid="16" name="DIAPlanningDocumentType">
    <vt:lpwstr/>
  </property>
  <property fmtid="{D5CDD505-2E9C-101B-9397-08002B2CF9AE}" pid="17" name="DIAOfficialEntity">
    <vt:lpwstr/>
  </property>
  <property fmtid="{D5CDD505-2E9C-101B-9397-08002B2CF9AE}" pid="18" name="DIAPortfolio">
    <vt:lpwstr/>
  </property>
  <property fmtid="{D5CDD505-2E9C-101B-9397-08002B2CF9AE}" pid="19" name="DIAAdministrationDocumentType">
    <vt:lpwstr/>
  </property>
  <property fmtid="{D5CDD505-2E9C-101B-9397-08002B2CF9AE}" pid="20" name="e426f00ce1c04b36b10d4c3e43c2da46">
    <vt:lpwstr/>
  </property>
  <property fmtid="{D5CDD505-2E9C-101B-9397-08002B2CF9AE}" pid="21" name="DIAAnalysisDocumentType">
    <vt:lpwstr/>
  </property>
  <property fmtid="{D5CDD505-2E9C-101B-9397-08002B2CF9AE}" pid="22" name="DIABriefingType">
    <vt:lpwstr/>
  </property>
  <property fmtid="{D5CDD505-2E9C-101B-9397-08002B2CF9AE}" pid="23" name="n519a372ec7b434bb313ba820b4e8ea6">
    <vt:lpwstr/>
  </property>
  <property fmtid="{D5CDD505-2E9C-101B-9397-08002B2CF9AE}" pid="24" name="DIAAgreementType">
    <vt:lpwstr/>
  </property>
  <property fmtid="{D5CDD505-2E9C-101B-9397-08002B2CF9AE}" pid="25" name="DIABriefingAudience">
    <vt:lpwstr/>
  </property>
  <property fmtid="{D5CDD505-2E9C-101B-9397-08002B2CF9AE}" pid="26" name="C3Topic">
    <vt:lpwstr/>
  </property>
  <property fmtid="{D5CDD505-2E9C-101B-9397-08002B2CF9AE}" pid="27" name="f61444bc44204a64a934873ee4bc3140">
    <vt:lpwstr/>
  </property>
</Properties>
</file>