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749BE11B" w:rsidR="00423715" w:rsidRPr="00354FF9" w:rsidRDefault="00423715" w:rsidP="00354FF9">
      <w:pPr>
        <w:ind w:left="-567"/>
        <w:rPr>
          <w:rFonts w:ascii="Acumin Pro" w:hAnsi="Acumin Pro"/>
          <w:color w:val="2B1B3A" w:themeColor="accent5" w:themeShade="80"/>
          <w:sz w:val="48"/>
          <w:szCs w:val="48"/>
        </w:rPr>
      </w:pPr>
      <w:r>
        <w:rPr>
          <w:rFonts w:ascii="Acumin Pro" w:hAnsi="Acumin Pro"/>
          <w:b/>
          <w:color w:val="2B1B3A" w:themeColor="accent5" w:themeShade="80"/>
          <w:sz w:val="48"/>
        </w:rPr>
        <w:t>Informations sur le secteur public de</w:t>
      </w:r>
      <w:r w:rsidRPr="00354FF9">
        <w:rPr>
          <w:rFonts w:ascii="Acumin Pro" w:hAnsi="Acumin Pro"/>
          <w:b/>
          <w:bCs/>
          <w:color w:val="2B1B3A" w:themeColor="accent5" w:themeShade="80"/>
          <w:sz w:val="48"/>
          <w:szCs w:val="48"/>
        </w:rPr>
        <w:br/>
      </w:r>
      <w:r>
        <w:rPr>
          <w:rFonts w:ascii="Acumin Pro" w:hAnsi="Acumin Pro"/>
          <w:b/>
          <w:color w:val="2B1B3A" w:themeColor="accent5" w:themeShade="80"/>
          <w:sz w:val="48"/>
        </w:rPr>
        <w:t xml:space="preserve">Nouvelle-Zélande </w:t>
      </w:r>
    </w:p>
    <w:p w14:paraId="449889E6" w14:textId="1B17B349" w:rsidR="00423715" w:rsidRDefault="00423715" w:rsidP="00423715">
      <w:pPr>
        <w:spacing w:line="276" w:lineRule="auto"/>
        <w:ind w:left="-567"/>
        <w:rPr>
          <w:rFonts w:ascii="Acumin Pro" w:hAnsi="Acumin Pro" w:cs="Arial"/>
          <w:b/>
          <w:bCs/>
          <w:color w:val="00908B"/>
          <w:kern w:val="32"/>
          <w:sz w:val="32"/>
          <w:szCs w:val="32"/>
        </w:rPr>
      </w:pPr>
      <w:r>
        <w:rPr>
          <w:rFonts w:ascii="Acumin Pro" w:hAnsi="Acumin Pro"/>
          <w:sz w:val="22"/>
        </w:rPr>
        <w:t>Les organismes administratifs mentionnés ci-dessous ont pour responsabilité la sécurité nationale et la protection de vos droits en Nouvelle-Zélande. Ce document décrit leurs attributions et le rôle qu'ils jouent dans votre protection. Vous pouvez signaler les ingérences étrangères à la police de Nouvelle-Zélande et au service de renseignement et de sécurité de la Nouvelle-Zélande (NZSIS)</w:t>
      </w:r>
      <w:r w:rsidR="00041474">
        <w:rPr>
          <w:rFonts w:ascii="Acumin Pro" w:hAnsi="Acumin Pro"/>
          <w:sz w:val="22"/>
        </w:rPr>
        <w:t>.</w:t>
      </w:r>
      <w:r>
        <w:rPr>
          <w:rFonts w:ascii="Acumin Pro" w:hAnsi="Acumin Pro"/>
          <w:sz w:val="22"/>
        </w:rPr>
        <w:t xml:space="preserve"> Pour en savoir plus sur les modalités de signalement d'une ingérence, veuillez consulter </w:t>
      </w:r>
      <w:hyperlink r:id="rId13">
        <w:r>
          <w:rPr>
            <w:rStyle w:val="Hyperlink"/>
            <w:rFonts w:ascii="Acumin Pro" w:hAnsi="Acumin Pro"/>
            <w:sz w:val="22"/>
          </w:rPr>
          <w:t>Comment signaler une ingérence étrangère</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1017E6D">
                <wp:simplePos x="0" y="0"/>
                <wp:positionH relativeFrom="margin">
                  <wp:posOffset>-565768</wp:posOffset>
                </wp:positionH>
                <wp:positionV relativeFrom="paragraph">
                  <wp:posOffset>88934</wp:posOffset>
                </wp:positionV>
                <wp:extent cx="6848928" cy="5880787"/>
                <wp:effectExtent l="38100" t="38100" r="34925" b="3746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88078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4.55pt;margin-top:7pt;width:539.3pt;height:463.0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5880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" adj="-11796480,,5400" path="m419947,l6810644,v21144,,38284,17140,38284,38284l6848928,5460840v,231930,-188017,419947,-419947,419947l38284,5880787c17140,5880787,,5863647,,5842503l,419947c,188017,188017,,419947,xe" filled="f" strokecolor="#3a1335" strokeweight="6pt">
                <v:stroke joinstyle="miter"/>
                <v:formulas/>
                <v:path arrowok="t" o:connecttype="custom" o:connectlocs="419947,0;6810644,0;6848928,38284;6848928,5460840;6428981,5880787;38284,5880787;0,5842503;0,419947;419947,0" o:connectangles="0,0,0,0,0,0,0,0,0" textboxrect="0,0,6848928,5880787"/>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2E1DEC95">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La police de Nouvelle-Zélande a pour mission de garantir la sécurité des personnes et de susciter un sentiment de sécurité dans les foyers, sur les routes et dans les communautés. La police est opérationnelle 24 heures sur 24 et se consacre activement à la lutte contre la criminalité et les nuisances et à leur prévention. Avec un effectif de 15 000 personnes environ, la police dispose d'un réseau de commissariats urbains et ruraux ainsi que des centres de police plus importants.</w:t>
      </w:r>
    </w:p>
    <w:p w14:paraId="01BBBD2F"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La police mène des opérations sur terre, sur mer et dans les airs et traite plus de 1,3 million de situations par an, répondant à plus de 925 000 appels d'urgence et plus de 743 000 appels non urgents.</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Les policiers sont formés pour venir en aide et protéger toute personne située en Nouvelle-Zélande. La police agit dans le respect des droits de l'homme, de façon indépendante et impartiale.</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Les principales missions de la police sont la prévention, l'investigation, la résolution et la réduction des crimes et des accidents de la route. Les fonctions de la police incluent :</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le</w:t>
      </w:r>
      <w:proofErr w:type="gramEnd"/>
      <w:r>
        <w:rPr>
          <w:rFonts w:ascii="Acumin Pro" w:hAnsi="Acumin Pro"/>
          <w:sz w:val="22"/>
        </w:rPr>
        <w:t xml:space="preserve"> maintien de l'ordre public,</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le</w:t>
      </w:r>
      <w:proofErr w:type="gramEnd"/>
      <w:r>
        <w:rPr>
          <w:rFonts w:ascii="Acumin Pro" w:hAnsi="Acumin Pro"/>
          <w:sz w:val="22"/>
        </w:rPr>
        <w:t xml:space="preserve"> maintien de la sûreté,</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l'application</w:t>
      </w:r>
      <w:proofErr w:type="gramEnd"/>
      <w:r>
        <w:rPr>
          <w:rFonts w:ascii="Acumin Pro" w:hAnsi="Acumin Pro"/>
          <w:sz w:val="22"/>
        </w:rPr>
        <w:t xml:space="preserve"> de la loi,</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la</w:t>
      </w:r>
      <w:proofErr w:type="gramEnd"/>
      <w:r>
        <w:rPr>
          <w:rFonts w:ascii="Acumin Pro" w:hAnsi="Acumin Pro"/>
          <w:sz w:val="22"/>
        </w:rPr>
        <w:t xml:space="preserve"> prévention de la criminalité,</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le</w:t>
      </w:r>
      <w:proofErr w:type="gramEnd"/>
      <w:r>
        <w:rPr>
          <w:rFonts w:ascii="Acumin Pro" w:hAnsi="Acumin Pro"/>
          <w:sz w:val="22"/>
        </w:rPr>
        <w:t xml:space="preserve"> soutien et la protection des communautés,</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la</w:t>
      </w:r>
      <w:proofErr w:type="gramEnd"/>
      <w:r>
        <w:rPr>
          <w:rFonts w:ascii="Acumin Pro" w:hAnsi="Acumin Pro"/>
          <w:sz w:val="22"/>
        </w:rPr>
        <w:t xml:space="preserve"> sécurité nationale,</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proofErr w:type="gramStart"/>
      <w:r>
        <w:rPr>
          <w:rFonts w:ascii="Acumin Pro" w:hAnsi="Acumin Pro"/>
          <w:sz w:val="22"/>
        </w:rPr>
        <w:t>la</w:t>
      </w:r>
      <w:proofErr w:type="gramEnd"/>
      <w:r>
        <w:rPr>
          <w:rFonts w:ascii="Acumin Pro" w:hAnsi="Acumin Pro"/>
          <w:sz w:val="22"/>
        </w:rPr>
        <w:t xml:space="preserve"> participation à des activités de police en dehors de la Nouvelle-Zélande,</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proofErr w:type="gramStart"/>
      <w:r>
        <w:rPr>
          <w:rFonts w:ascii="Acumin Pro" w:hAnsi="Acumin Pro"/>
          <w:sz w:val="22"/>
        </w:rPr>
        <w:t>la</w:t>
      </w:r>
      <w:proofErr w:type="gramEnd"/>
      <w:r>
        <w:rPr>
          <w:rFonts w:ascii="Acumin Pro" w:hAnsi="Acumin Pro"/>
          <w:sz w:val="22"/>
        </w:rPr>
        <w:t xml:space="preserve"> gestion des situations d'urgence.</w:t>
      </w:r>
    </w:p>
    <w:p w14:paraId="476482CF" w14:textId="039DBA39" w:rsidR="00423715" w:rsidRDefault="00423715" w:rsidP="00CC70DF">
      <w:pPr>
        <w:keepLines w:val="0"/>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6E5C23FD" w:rsidR="00423715" w:rsidRDefault="0066114C" w:rsidP="00CC70DF">
      <w:pPr>
        <w:ind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4BFBFF78">
                <wp:simplePos x="0" y="0"/>
                <wp:positionH relativeFrom="margin">
                  <wp:posOffset>-671830</wp:posOffset>
                </wp:positionH>
                <wp:positionV relativeFrom="paragraph">
                  <wp:posOffset>-300355</wp:posOffset>
                </wp:positionV>
                <wp:extent cx="6883400" cy="4191000"/>
                <wp:effectExtent l="38100" t="38100" r="31750" b="3810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1910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margin-left:-52.9pt;margin-top:-23.65pt;width:542pt;height:330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19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" adj="-11796480,,5400" path="m299279,l6856117,v15068,,27283,12215,27283,27283l6883400,3891721v,165287,-133992,299279,-299279,299279l27283,4191000c12215,4191000,,4178785,,4163717l,299279c,133992,133992,,299279,xe" filled="f" strokecolor="#3a1335" strokeweight="6pt">
                <v:stroke joinstyle="miter"/>
                <v:formulas/>
                <v:path arrowok="t" o:connecttype="custom" o:connectlocs="299279,0;6856117,0;6883400,27283;6883400,3891721;6584121,4191000;27283,4191000;0,4163717;0,299279;299279,0" o:connectangles="0,0,0,0,0,0,0,0,0" textboxrect="0,0,6883400,4191000"/>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CC70DF">
        <w:rPr>
          <w:noProof/>
        </w:rPr>
        <w:drawing>
          <wp:anchor distT="0" distB="0" distL="114300" distR="114300" simplePos="0" relativeHeight="251658253" behindDoc="1" locked="0" layoutInCell="1" allowOverlap="1" wp14:anchorId="325AB658" wp14:editId="2FB0D667">
            <wp:simplePos x="0" y="0"/>
            <wp:positionH relativeFrom="column">
              <wp:posOffset>-436832</wp:posOffset>
            </wp:positionH>
            <wp:positionV relativeFrom="paragraph">
              <wp:posOffset>-149469</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DAC5A" w14:textId="2B66F61B" w:rsidR="00423715" w:rsidRDefault="00423715" w:rsidP="003B716B">
      <w:pPr>
        <w:keepLines w:val="0"/>
        <w:ind w:right="-1"/>
        <w:rPr>
          <w:rFonts w:ascii="Acumin Pro" w:eastAsia="Calibri" w:hAnsi="Acumin Pro" w:cstheme="minorHAnsi"/>
          <w:b/>
          <w:bCs/>
          <w:sz w:val="22"/>
          <w:szCs w:val="22"/>
        </w:rPr>
      </w:pPr>
    </w:p>
    <w:p w14:paraId="65352939" w14:textId="77777777" w:rsidR="00890707" w:rsidRDefault="00890707" w:rsidP="00482246">
      <w:pPr>
        <w:ind w:right="-1"/>
        <w:rPr>
          <w:rFonts w:ascii="Acumin Pro" w:eastAsia="Calibri" w:hAnsi="Acumin Pro" w:cstheme="minorHAnsi"/>
          <w:b/>
          <w:bCs/>
          <w:sz w:val="22"/>
          <w:szCs w:val="22"/>
        </w:rPr>
      </w:pPr>
    </w:p>
    <w:p w14:paraId="4C06B2B6" w14:textId="788DE4E8" w:rsidR="00423715" w:rsidRPr="00491622" w:rsidRDefault="00423715" w:rsidP="00482246">
      <w:pPr>
        <w:ind w:left="-426" w:right="-1"/>
        <w:rPr>
          <w:rFonts w:ascii="Acumin Pro" w:eastAsia="Calibri" w:hAnsi="Acumin Pro" w:cstheme="minorHAnsi"/>
          <w:b/>
          <w:bCs/>
          <w:sz w:val="22"/>
          <w:szCs w:val="22"/>
        </w:rPr>
      </w:pPr>
      <w:r>
        <w:rPr>
          <w:rFonts w:ascii="Acumin Pro" w:hAnsi="Acumin Pro"/>
          <w:b/>
          <w:sz w:val="22"/>
        </w:rPr>
        <w:t>Officiers de liaison avec les groupes ethniques</w:t>
      </w:r>
      <w:r w:rsidRPr="00491622">
        <w:rPr>
          <w:rFonts w:ascii="Acumin Pro" w:hAnsi="Acumin Pro"/>
          <w:b/>
          <w:bCs/>
          <w:sz w:val="22"/>
          <w:szCs w:val="22"/>
        </w:rPr>
        <w:br/>
      </w:r>
      <w:r w:rsidRPr="00491622">
        <w:rPr>
          <w:rFonts w:ascii="Acumin Pro" w:hAnsi="Acumin Pro"/>
          <w:sz w:val="22"/>
          <w:szCs w:val="22"/>
        </w:rPr>
        <w:t xml:space="preserve">La police défend la diversité et soutient les communautés ethniques par l'intermédiaire d'officiers de liaison répartis dans l'ensemble du pays. Ces officiers travaillent avec les groupes ethniques pour clarifier les missions de la police et faciliter les contacts, pour relayer à la police leurs préoccupations et prévenir les crimes et délits à leur encontre. </w:t>
      </w:r>
    </w:p>
    <w:p w14:paraId="3802C649" w14:textId="77777777" w:rsidR="00423715" w:rsidRPr="00491622" w:rsidRDefault="00423715" w:rsidP="006B32C0">
      <w:pPr>
        <w:ind w:left="-426" w:right="-143"/>
        <w:rPr>
          <w:rFonts w:ascii="Acumin Pro" w:eastAsia="Calibri" w:hAnsi="Acumin Pro" w:cstheme="minorHAnsi"/>
          <w:sz w:val="22"/>
          <w:szCs w:val="22"/>
        </w:rPr>
      </w:pPr>
      <w:r>
        <w:rPr>
          <w:rFonts w:ascii="Acumin Pro" w:hAnsi="Acumin Pro"/>
          <w:sz w:val="22"/>
        </w:rPr>
        <w:t>Les policiers sont toujours à l'écoute des préoccupations du public et prêts à travailler avec les individus pour améliorer leur sécurité.</w:t>
      </w:r>
    </w:p>
    <w:p w14:paraId="5D7DB403" w14:textId="3FACFB4D" w:rsidR="00423715" w:rsidRPr="00491622" w:rsidRDefault="00423715" w:rsidP="006B32C0">
      <w:pPr>
        <w:ind w:left="-426" w:right="-1"/>
        <w:rPr>
          <w:rFonts w:ascii="Acumin Pro" w:eastAsia="Calibri" w:hAnsi="Acumin Pro" w:cstheme="minorHAnsi"/>
          <w:sz w:val="22"/>
          <w:szCs w:val="22"/>
        </w:rPr>
      </w:pPr>
      <w:r>
        <w:rPr>
          <w:rFonts w:ascii="Acumin Pro" w:hAnsi="Acumin Pro"/>
          <w:sz w:val="22"/>
        </w:rPr>
        <w:t xml:space="preserve">En cas de menaces en personne ou en ligne suscitant un sentiment de peur pour vous ou pour autrui, veuillez contacter la police. Cela inclut toute manifestation hostile en raison de la race, de la religion, </w:t>
      </w:r>
      <w:r w:rsidR="00041474">
        <w:rPr>
          <w:rFonts w:ascii="Acumin Pro" w:hAnsi="Acumin Pro"/>
          <w:sz w:val="22"/>
        </w:rPr>
        <w:t xml:space="preserve">de </w:t>
      </w:r>
      <w:r>
        <w:rPr>
          <w:rFonts w:ascii="Acumin Pro" w:hAnsi="Acumin Pro"/>
          <w:sz w:val="22"/>
        </w:rPr>
        <w:t xml:space="preserve">l'orientation sexuelle, </w:t>
      </w:r>
      <w:r w:rsidR="00041474">
        <w:rPr>
          <w:rFonts w:ascii="Acumin Pro" w:hAnsi="Acumin Pro"/>
          <w:sz w:val="22"/>
        </w:rPr>
        <w:t xml:space="preserve">de </w:t>
      </w:r>
      <w:r>
        <w:rPr>
          <w:rFonts w:ascii="Acumin Pro" w:hAnsi="Acumin Pro"/>
          <w:sz w:val="22"/>
        </w:rPr>
        <w:t>l'identité de genre, du handicap ou de l'âge.</w:t>
      </w:r>
    </w:p>
    <w:p w14:paraId="3A6FBA98" w14:textId="77777777" w:rsidR="00423715" w:rsidRDefault="00423715" w:rsidP="006B32C0">
      <w:pPr>
        <w:ind w:left="-426" w:right="-1"/>
        <w:rPr>
          <w:rFonts w:ascii="Acumin Pro" w:eastAsia="Calibri" w:hAnsi="Acumin Pro" w:cstheme="minorBidi"/>
          <w:sz w:val="22"/>
          <w:szCs w:val="22"/>
        </w:rPr>
      </w:pPr>
      <w:r>
        <w:rPr>
          <w:rFonts w:ascii="Acumin Pro" w:hAnsi="Acumin Pro"/>
          <w:sz w:val="22"/>
        </w:rPr>
        <w:t>Il incombe à tous les Néo-Zélandais de connaître leur environnement et de signaler aux autorités les comportements suspects ou inhabituels.</w:t>
      </w:r>
    </w:p>
    <w:p w14:paraId="6B563B73" w14:textId="6FB5F0EE" w:rsidR="00423715" w:rsidRDefault="00890707"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0DFEE47C">
                <wp:simplePos x="0" y="0"/>
                <wp:positionH relativeFrom="margin">
                  <wp:posOffset>-572184</wp:posOffset>
                </wp:positionH>
                <wp:positionV relativeFrom="paragraph">
                  <wp:posOffset>399659</wp:posOffset>
                </wp:positionV>
                <wp:extent cx="6842125" cy="4621823"/>
                <wp:effectExtent l="38100" t="38100" r="41275" b="3937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621823"/>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31.45pt;width:538.75pt;height:363.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218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" adj="-11796480,,5400" path="m440321,l6842125,r,l6842125,4181502v,243183,-197138,440321,-440321,440321l,4621823r,l,440321c,197138,197138,,440321,xe" fillcolor="#c00000" strokecolor="#c00000" strokeweight="6pt">
                <v:fill opacity="11822f"/>
                <v:stroke joinstyle="miter"/>
                <v:formulas/>
                <v:path arrowok="t" o:connecttype="custom" o:connectlocs="440321,0;6842125,0;6842125,0;6842125,4181502;6401804,4621823;0,4621823;0,4621823;0,440321;440321,0" o:connectangles="0,0,0,0,0,0,0,0,0" textboxrect="0,0,6842125,4621823"/>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4E657420"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bCs/>
          <w:sz w:val="22"/>
          <w:szCs w:val="22"/>
        </w:rPr>
        <w:br/>
      </w:r>
      <w:r>
        <w:rPr>
          <w:rFonts w:ascii="Acumin Pro" w:hAnsi="Acumin Pro"/>
          <w:b/>
          <w:sz w:val="22"/>
        </w:rPr>
        <w:t>Numéro d'appel d'urgence de la police :</w:t>
      </w:r>
      <w:r w:rsidR="00423715" w:rsidRPr="00491622">
        <w:rPr>
          <w:rFonts w:ascii="Acumin Pro" w:hAnsi="Acumin Pro"/>
          <w:b/>
          <w:bCs/>
          <w:sz w:val="22"/>
          <w:szCs w:val="22"/>
        </w:rPr>
        <w:br/>
      </w:r>
      <w:r w:rsidR="00893139">
        <w:rPr>
          <w:rFonts w:ascii="Acumin Pro" w:hAnsi="Acumin Pro"/>
          <w:sz w:val="22"/>
        </w:rPr>
        <w:t>C</w:t>
      </w:r>
      <w:r>
        <w:rPr>
          <w:rFonts w:ascii="Acumin Pro" w:hAnsi="Acumin Pro"/>
          <w:sz w:val="22"/>
        </w:rPr>
        <w:t>omposez le 111 et demandez à parler à la police lorsque :</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proofErr w:type="gramStart"/>
      <w:r>
        <w:rPr>
          <w:rFonts w:ascii="Acumin Pro" w:hAnsi="Acumin Pro"/>
          <w:sz w:val="22"/>
        </w:rPr>
        <w:t>des</w:t>
      </w:r>
      <w:proofErr w:type="gramEnd"/>
      <w:r>
        <w:rPr>
          <w:rFonts w:ascii="Acumin Pro" w:hAnsi="Acumin Pro"/>
          <w:sz w:val="22"/>
        </w:rPr>
        <w:t xml:space="preserve"> personnes sont blessées ou en danger ; </w:t>
      </w:r>
      <w:proofErr w:type="gramStart"/>
      <w:r>
        <w:rPr>
          <w:rFonts w:ascii="Acumin Pro" w:hAnsi="Acumin Pro"/>
          <w:sz w:val="22"/>
        </w:rPr>
        <w:t>ou</w:t>
      </w:r>
      <w:proofErr w:type="gramEnd"/>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proofErr w:type="gramStart"/>
      <w:r>
        <w:rPr>
          <w:rFonts w:ascii="Acumin Pro" w:hAnsi="Acumin Pro"/>
          <w:sz w:val="22"/>
        </w:rPr>
        <w:t>des</w:t>
      </w:r>
      <w:proofErr w:type="gramEnd"/>
      <w:r>
        <w:rPr>
          <w:rFonts w:ascii="Acumin Pro" w:hAnsi="Acumin Pro"/>
          <w:sz w:val="22"/>
        </w:rPr>
        <w:t xml:space="preserve"> vies ou des biens courent un risque sérieux, imminent ou immédiat ; ou une infraction est en cours ou vient d'être commise et les auteurs sont toujours présents ou viennent juste de partir.</w:t>
      </w:r>
    </w:p>
    <w:p w14:paraId="048A140F" w14:textId="0FBEE6FE"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Signalement de situations non urgentes :</w:t>
      </w:r>
      <w:r w:rsidRPr="00491622">
        <w:rPr>
          <w:rFonts w:ascii="Acumin Pro" w:hAnsi="Acumin Pro"/>
          <w:b/>
          <w:bCs/>
          <w:sz w:val="22"/>
          <w:szCs w:val="22"/>
        </w:rPr>
        <w:br/>
      </w:r>
      <w:r w:rsidR="00893139">
        <w:rPr>
          <w:rFonts w:ascii="Acumin Pro" w:hAnsi="Acumin Pro"/>
          <w:sz w:val="22"/>
          <w:szCs w:val="22"/>
        </w:rPr>
        <w:t>S</w:t>
      </w:r>
      <w:r w:rsidRPr="00491622">
        <w:rPr>
          <w:rFonts w:ascii="Acumin Pro" w:hAnsi="Acumin Pro"/>
          <w:sz w:val="22"/>
          <w:szCs w:val="22"/>
        </w:rPr>
        <w:t>i les membres du public souhaitent signaler à la police des comportements suspects ou inhabituels pour lesquels il n'y a pas urgence, ils peuvent le faire :</w:t>
      </w:r>
    </w:p>
    <w:p w14:paraId="403023D2" w14:textId="6BB30AA1"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proofErr w:type="gramStart"/>
      <w:r>
        <w:rPr>
          <w:rFonts w:ascii="Acumin Pro" w:hAnsi="Acumin Pro"/>
          <w:sz w:val="22"/>
        </w:rPr>
        <w:t>en</w:t>
      </w:r>
      <w:proofErr w:type="gramEnd"/>
      <w:r>
        <w:rPr>
          <w:rFonts w:ascii="Acumin Pro" w:hAnsi="Acumin Pro"/>
          <w:sz w:val="22"/>
        </w:rPr>
        <w:t xml:space="preserve"> remplissant un rapport en ligne sur </w:t>
      </w:r>
      <w:hyperlink r:id="rId18" w:history="1">
        <w:r>
          <w:rPr>
            <w:rStyle w:val="Hyperlink"/>
            <w:rFonts w:ascii="Acumin Pro" w:hAnsi="Acumin Pro"/>
            <w:sz w:val="22"/>
          </w:rPr>
          <w:t>105.police.govt.nz</w:t>
        </w:r>
      </w:hyperlink>
      <w:r>
        <w:rPr>
          <w:rFonts w:ascii="Acumin Pro" w:hAnsi="Acumin Pro"/>
          <w:sz w:val="22"/>
        </w:rPr>
        <w:t xml:space="preserve"> ou en composant le </w:t>
      </w:r>
      <w:hyperlink r:id="rId19" w:history="1">
        <w:r>
          <w:rPr>
            <w:rStyle w:val="Hyperlink"/>
            <w:rFonts w:ascii="Acumin Pro" w:hAnsi="Acumin Pro"/>
            <w:sz w:val="22"/>
          </w:rPr>
          <w:t>105</w:t>
        </w:r>
      </w:hyperlink>
      <w:r>
        <w:rPr>
          <w:rFonts w:ascii="Acumin Pro" w:hAnsi="Acumin Pro"/>
          <w:sz w:val="22"/>
        </w:rPr>
        <w:t>, le numéro d'appel de la police pour les situations non urgentes ;</w:t>
      </w:r>
    </w:p>
    <w:p w14:paraId="11DB003F" w14:textId="4EABA1DF"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proofErr w:type="gramStart"/>
      <w:r>
        <w:rPr>
          <w:rFonts w:ascii="Acumin Pro" w:hAnsi="Acumin Pro"/>
          <w:sz w:val="22"/>
        </w:rPr>
        <w:t>en</w:t>
      </w:r>
      <w:proofErr w:type="gramEnd"/>
      <w:r>
        <w:rPr>
          <w:rFonts w:ascii="Acumin Pro" w:hAnsi="Acumin Pro"/>
          <w:sz w:val="22"/>
        </w:rPr>
        <w:t xml:space="preserve"> se rendant dans le </w:t>
      </w:r>
      <w:hyperlink r:id="rId20" w:history="1">
        <w:r>
          <w:rPr>
            <w:rStyle w:val="Hyperlink"/>
            <w:rFonts w:ascii="Acumin Pro" w:hAnsi="Acumin Pro"/>
            <w:sz w:val="22"/>
          </w:rPr>
          <w:t>commissariat de police</w:t>
        </w:r>
      </w:hyperlink>
      <w:r>
        <w:rPr>
          <w:rFonts w:ascii="Acumin Pro" w:hAnsi="Acumin Pro"/>
          <w:sz w:val="22"/>
        </w:rPr>
        <w:t xml:space="preserve"> le plus proche ;</w:t>
      </w:r>
    </w:p>
    <w:p w14:paraId="19A53A05" w14:textId="296DCAB2"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proofErr w:type="gramStart"/>
      <w:r>
        <w:rPr>
          <w:rFonts w:ascii="Acumin Pro" w:hAnsi="Acumin Pro"/>
          <w:sz w:val="22"/>
        </w:rPr>
        <w:t>en</w:t>
      </w:r>
      <w:proofErr w:type="gramEnd"/>
      <w:r>
        <w:rPr>
          <w:rFonts w:ascii="Acumin Pro" w:hAnsi="Acumin Pro"/>
          <w:sz w:val="22"/>
        </w:rPr>
        <w:t xml:space="preserve"> appelant </w:t>
      </w:r>
      <w:hyperlink r:id="rId21" w:tgtFrame="_blank" w:history="1">
        <w:r>
          <w:rPr>
            <w:rStyle w:val="Hyperlink"/>
            <w:rFonts w:ascii="Acumin Pro" w:hAnsi="Acumin Pro"/>
            <w:sz w:val="22"/>
          </w:rPr>
          <w:t>Crime Stoppers</w:t>
        </w:r>
      </w:hyperlink>
      <w:r>
        <w:rPr>
          <w:rFonts w:ascii="Acumin Pro" w:hAnsi="Acumin Pro"/>
          <w:sz w:val="22"/>
        </w:rPr>
        <w:t> au </w:t>
      </w:r>
      <w:hyperlink r:id="rId22" w:history="1">
        <w:r>
          <w:rPr>
            <w:rStyle w:val="Hyperlink"/>
            <w:rFonts w:ascii="Acumin Pro" w:hAnsi="Acumin Pro"/>
            <w:sz w:val="22"/>
          </w:rPr>
          <w:t>0800 555 111</w:t>
        </w:r>
      </w:hyperlink>
      <w:r>
        <w:rPr>
          <w:rFonts w:ascii="Acumin Pro" w:hAnsi="Acumin Pro"/>
          <w:sz w:val="22"/>
        </w:rPr>
        <w:t>.</w:t>
      </w:r>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Si vous avez besoin de vous adresser à la police, composez le 105 sur votre portable ou n'importe quelle ligne fixe. Le 105 est un numéro d'appel gratuit disponible 24h/24, 7j/7. Si vous ne pouvez pas nous joindre par l'intermédiaire du 105, veuillez nous contacter en ligne à l'adresse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54374D4B" w14:textId="42B50F9E" w:rsidR="00423715" w:rsidRDefault="00482246"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58247" behindDoc="1" locked="0" layoutInCell="1" allowOverlap="1" wp14:anchorId="15C796F6" wp14:editId="6A1EF510">
                <wp:simplePos x="0" y="0"/>
                <wp:positionH relativeFrom="margin">
                  <wp:posOffset>-452755</wp:posOffset>
                </wp:positionH>
                <wp:positionV relativeFrom="paragraph">
                  <wp:posOffset>-452756</wp:posOffset>
                </wp:positionV>
                <wp:extent cx="6591300" cy="9553575"/>
                <wp:effectExtent l="38100" t="38100" r="38100" b="47625"/>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55357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5.65pt;margin-top:-35.65pt;width:519pt;height:752.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55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" adj="-11796480,,5400" path="m627953,l6591300,r,l6591300,8925622v,346809,-281144,627953,-627953,627953l,9553575r,l,627953c,281144,281144,,627953,xe" filled="f" strokecolor="#3a1335" strokeweight="6pt">
                <v:stroke joinstyle="miter"/>
                <v:formulas/>
                <v:path arrowok="t" o:connecttype="custom" o:connectlocs="627953,0;6591300,0;6591300,0;6591300,8925622;5963347,9553575;0,9553575;0,9553575;0,627953;627953,0" o:connectangles="0,0,0,0,0,0,0,0,0" textboxrect="0,0,6591300,9553575"/>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sidRPr="00722772">
        <w:rPr>
          <w:rFonts w:ascii="Acumin Pro" w:hAnsi="Acumin Pro"/>
          <w:noProof/>
          <w:sz w:val="22"/>
          <w:szCs w:val="22"/>
        </w:rPr>
        <w:drawing>
          <wp:anchor distT="0" distB="0" distL="114300" distR="114300" simplePos="0" relativeHeight="251658242" behindDoc="1" locked="0" layoutInCell="1" allowOverlap="1" wp14:anchorId="33CAD41C" wp14:editId="5C51FEA5">
            <wp:simplePos x="0" y="0"/>
            <wp:positionH relativeFrom="column">
              <wp:posOffset>-456565</wp:posOffset>
            </wp:positionH>
            <wp:positionV relativeFrom="paragraph">
              <wp:posOffset>-204865</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6F814B01" w14:textId="720B9DE3" w:rsidR="00423715" w:rsidRPr="00482246" w:rsidRDefault="00423715" w:rsidP="00482246">
      <w:pPr>
        <w:spacing w:after="120"/>
        <w:ind w:left="-567"/>
        <w:rPr>
          <w:rFonts w:ascii="Acumin Pro" w:hAnsi="Acumin Pro" w:cs="Arial"/>
          <w:b/>
          <w:bCs/>
          <w:color w:val="00908B"/>
          <w:kern w:val="32"/>
          <w:sz w:val="22"/>
          <w:szCs w:val="22"/>
        </w:rPr>
      </w:pPr>
      <w:r w:rsidRPr="00482246">
        <w:rPr>
          <w:rFonts w:ascii="Acumin Pro" w:hAnsi="Acumin Pro"/>
          <w:sz w:val="22"/>
          <w:szCs w:val="22"/>
        </w:rPr>
        <w:t xml:space="preserve">Le Service de renseignement et de sécurité de Nouvelle-Zélande (NZSIS) est le service de renseignements intérieur néo-zélandais. Sa mission est </w:t>
      </w:r>
      <w:proofErr w:type="gramStart"/>
      <w:r w:rsidRPr="00482246">
        <w:rPr>
          <w:rFonts w:ascii="Acumin Pro" w:hAnsi="Acumin Pro"/>
          <w:color w:val="212529"/>
          <w:sz w:val="22"/>
          <w:szCs w:val="22"/>
        </w:rPr>
        <w:t>protéger</w:t>
      </w:r>
      <w:proofErr w:type="gramEnd"/>
      <w:r w:rsidRPr="00482246">
        <w:rPr>
          <w:rFonts w:ascii="Acumin Pro" w:hAnsi="Acumin Pro"/>
          <w:color w:val="212529"/>
          <w:sz w:val="22"/>
          <w:szCs w:val="22"/>
        </w:rPr>
        <w:t xml:space="preserve"> la Nouvelle-Zélande et tous ses habitants.</w:t>
      </w:r>
      <w:r w:rsidRPr="00482246">
        <w:rPr>
          <w:rFonts w:ascii="Acumin Pro" w:hAnsi="Acumin Pro"/>
          <w:sz w:val="22"/>
          <w:szCs w:val="22"/>
        </w:rPr>
        <w:t xml:space="preserve"> </w:t>
      </w:r>
    </w:p>
    <w:p w14:paraId="4E2746D8"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 xml:space="preserve">Le NZSIS est une administration dont le rôle est d'enquêter sur les menaces pesant sur la sécurité nationale de la Nouvelle-Zélande. Il s'agit de garantir la protection </w:t>
      </w:r>
      <w:r w:rsidRPr="00491622">
        <w:rPr>
          <w:rFonts w:ascii="Acumin Pro" w:hAnsi="Acumin Pro"/>
          <w:color w:val="212529"/>
          <w:sz w:val="22"/>
          <w:szCs w:val="22"/>
        </w:rPr>
        <w:t>de la démocratie, des libertés et de la tolérance en Nouvelle-Zélande. Le NZSIS participe également à la protection des relations internationales et du bien-être économique de la Nouvelle-Zélande.</w:t>
      </w:r>
    </w:p>
    <w:p w14:paraId="53D5B272"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Le service dirige la sécurité intérieure de la Nouvelle-Zélande et le renseignement humain.</w:t>
      </w:r>
      <w:r w:rsidRPr="00491622">
        <w:rPr>
          <w:rFonts w:ascii="Acumin Pro" w:hAnsi="Acumin Pro"/>
          <w:color w:val="212529"/>
          <w:sz w:val="22"/>
          <w:szCs w:val="22"/>
        </w:rPr>
        <w:t xml:space="preserve"> Par conséquent, le service recueille des</w:t>
      </w:r>
      <w:r>
        <w:rPr>
          <w:rFonts w:ascii="Acumin Pro" w:hAnsi="Acumin Pro"/>
          <w:sz w:val="22"/>
        </w:rPr>
        <w:t xml:space="preserve"> informations grâce à ses canaux de communication avec diverses personnes. Les renseignements recueillis par le NZSIS sont transmis au gouvernement et à d'autres </w:t>
      </w:r>
      <w:r w:rsidRPr="00491622">
        <w:rPr>
          <w:rFonts w:ascii="Acumin Pro" w:hAnsi="Acumin Pro"/>
          <w:color w:val="212529"/>
          <w:sz w:val="22"/>
          <w:szCs w:val="22"/>
        </w:rPr>
        <w:t>décideurs politiques pour que les décisions soient prises de manière éclairée.</w:t>
      </w:r>
      <w:r>
        <w:rPr>
          <w:rFonts w:ascii="Acumin Pro" w:hAnsi="Acumin Pro"/>
          <w:sz w:val="22"/>
        </w:rPr>
        <w:t xml:space="preserve"> </w:t>
      </w:r>
    </w:p>
    <w:p w14:paraId="482BA16C"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Une autre fonction du NZSIS est d'aider les administrations et d'autres organismes à protéger leurs employés, leurs informations et leurs actifs contre les menaces à la sécurité nationale.</w:t>
      </w:r>
    </w:p>
    <w:p w14:paraId="4CDC7630"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 xml:space="preserve">Les priorités du NZSIS sont : </w:t>
      </w:r>
    </w:p>
    <w:p w14:paraId="40AEF3FE" w14:textId="77777777" w:rsidR="00423715" w:rsidRPr="00D25314" w:rsidRDefault="00423715" w:rsidP="00482246">
      <w:pPr>
        <w:pStyle w:val="ListParagraph"/>
        <w:numPr>
          <w:ilvl w:val="0"/>
          <w:numId w:val="23"/>
        </w:numPr>
        <w:spacing w:before="0" w:after="120"/>
        <w:rPr>
          <w:rFonts w:ascii="Acumin Pro" w:eastAsia="Arial" w:hAnsi="Acumin Pro" w:cstheme="minorHAnsi"/>
          <w:sz w:val="22"/>
          <w:szCs w:val="22"/>
        </w:rPr>
      </w:pPr>
      <w:proofErr w:type="gramStart"/>
      <w:r>
        <w:rPr>
          <w:rFonts w:ascii="Acumin Pro" w:hAnsi="Acumin Pro"/>
          <w:sz w:val="22"/>
        </w:rPr>
        <w:t>les</w:t>
      </w:r>
      <w:proofErr w:type="gramEnd"/>
      <w:r>
        <w:rPr>
          <w:rFonts w:ascii="Acumin Pro" w:hAnsi="Acumin Pro"/>
          <w:sz w:val="22"/>
        </w:rPr>
        <w:t xml:space="preserve"> ingérences étrangères y compris la coercition de communautés ethniques par un État étranger ; </w:t>
      </w:r>
    </w:p>
    <w:p w14:paraId="12D327F9" w14:textId="77777777" w:rsidR="00423715" w:rsidRPr="00D25314" w:rsidRDefault="00423715" w:rsidP="00482246">
      <w:pPr>
        <w:pStyle w:val="ListParagraph"/>
        <w:numPr>
          <w:ilvl w:val="0"/>
          <w:numId w:val="23"/>
        </w:numPr>
        <w:spacing w:before="0" w:after="120"/>
        <w:rPr>
          <w:rFonts w:ascii="Acumin Pro" w:eastAsia="Arial" w:hAnsi="Acumin Pro" w:cstheme="minorHAnsi"/>
          <w:sz w:val="22"/>
          <w:szCs w:val="22"/>
        </w:rPr>
      </w:pPr>
      <w:proofErr w:type="gramStart"/>
      <w:r>
        <w:rPr>
          <w:rFonts w:ascii="Acumin Pro" w:hAnsi="Acumin Pro"/>
          <w:sz w:val="22"/>
        </w:rPr>
        <w:t>l'espionnage</w:t>
      </w:r>
      <w:proofErr w:type="gramEnd"/>
      <w:r>
        <w:rPr>
          <w:rFonts w:ascii="Acumin Pro" w:hAnsi="Acumin Pro"/>
          <w:sz w:val="22"/>
        </w:rPr>
        <w:t> ;</w:t>
      </w:r>
    </w:p>
    <w:p w14:paraId="49B146FC" w14:textId="77777777" w:rsidR="00423715" w:rsidRPr="00D25314" w:rsidRDefault="00423715" w:rsidP="00482246">
      <w:pPr>
        <w:pStyle w:val="ListParagraph"/>
        <w:numPr>
          <w:ilvl w:val="0"/>
          <w:numId w:val="23"/>
        </w:numPr>
        <w:spacing w:before="0" w:after="120"/>
        <w:rPr>
          <w:rFonts w:ascii="Acumin Pro" w:eastAsia="Arial" w:hAnsi="Acumin Pro" w:cstheme="minorHAnsi"/>
          <w:sz w:val="22"/>
          <w:szCs w:val="22"/>
        </w:rPr>
      </w:pPr>
      <w:proofErr w:type="gramStart"/>
      <w:r>
        <w:rPr>
          <w:rFonts w:ascii="Acumin Pro" w:hAnsi="Acumin Pro"/>
          <w:sz w:val="22"/>
        </w:rPr>
        <w:t>les</w:t>
      </w:r>
      <w:proofErr w:type="gramEnd"/>
      <w:r>
        <w:rPr>
          <w:rFonts w:ascii="Acumin Pro" w:hAnsi="Acumin Pro"/>
          <w:sz w:val="22"/>
        </w:rPr>
        <w:t xml:space="preserve"> extrémismes violents et le terrorisme.  </w:t>
      </w:r>
    </w:p>
    <w:p w14:paraId="30FD0EFC" w14:textId="77777777" w:rsidR="00423715" w:rsidRDefault="00423715" w:rsidP="00482246">
      <w:pPr>
        <w:spacing w:before="0" w:after="120"/>
        <w:ind w:left="-567"/>
        <w:rPr>
          <w:rFonts w:ascii="Acumin Pro" w:eastAsia="Arial" w:hAnsi="Acumin Pro" w:cstheme="minorHAnsi"/>
          <w:sz w:val="22"/>
          <w:szCs w:val="22"/>
        </w:rPr>
      </w:pPr>
    </w:p>
    <w:p w14:paraId="7734A06D"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Le NZSIS collabore étroitement avec d'autres agences comme la police de Nouvelle-Zélande et le bureau de la sécurité des communications du gouvernement (Government Communications Security Bureau - GCSB).   Dans le cadre de sa mission, le service travaille également avec les communautés, les tribus maories, les administrations locales, le secteur éducatif, les entreprises et d'autres organisations.</w:t>
      </w:r>
    </w:p>
    <w:p w14:paraId="38FB6F5B" w14:textId="7405CA9B"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Les activités du service sont régies par la loi « Intelligence and Security Act </w:t>
      </w:r>
      <w:r w:rsidR="00893139">
        <w:rPr>
          <w:rFonts w:ascii="Acumin Pro" w:hAnsi="Acumin Pro"/>
          <w:sz w:val="22"/>
        </w:rPr>
        <w:t>»</w:t>
      </w:r>
      <w:r>
        <w:rPr>
          <w:rFonts w:ascii="Acumin Pro" w:hAnsi="Acumin Pro"/>
          <w:sz w:val="22"/>
        </w:rPr>
        <w:t xml:space="preserve"> de 2017 qui garantit la licéité des actions du NZSIS, sa neutralité politique et sa conformité à ses obligations en matière de droits de l'homme.</w:t>
      </w:r>
      <w:r w:rsidRPr="00491622">
        <w:rPr>
          <w:rFonts w:ascii="Acumin Pro" w:hAnsi="Acumin Pro"/>
          <w:color w:val="000000" w:themeColor="text1"/>
          <w:sz w:val="22"/>
          <w:szCs w:val="22"/>
        </w:rPr>
        <w:t xml:space="preserve">  Le NZSIS doit respecter les priorités de renseignements déterminées par le gouvernement néo-zélandais.</w:t>
      </w:r>
    </w:p>
    <w:p w14:paraId="20EBD658" w14:textId="77777777" w:rsidR="00423715" w:rsidRPr="00491622" w:rsidRDefault="00423715" w:rsidP="00482246">
      <w:pPr>
        <w:spacing w:before="0" w:after="120"/>
        <w:ind w:left="-567"/>
        <w:rPr>
          <w:rFonts w:ascii="Acumin Pro" w:hAnsi="Acumin Pro" w:cstheme="minorHAnsi"/>
          <w:sz w:val="22"/>
          <w:szCs w:val="22"/>
        </w:rPr>
      </w:pPr>
      <w:r w:rsidRPr="00491622">
        <w:rPr>
          <w:rFonts w:ascii="Acumin Pro" w:hAnsi="Acumin Pro"/>
          <w:color w:val="000000" w:themeColor="text1"/>
          <w:sz w:val="22"/>
          <w:szCs w:val="22"/>
        </w:rPr>
        <w:t xml:space="preserve">Le NZSIS ne peut arrêter ni détenir quiconque et ne </w:t>
      </w:r>
      <w:r>
        <w:rPr>
          <w:rFonts w:ascii="Acumin Pro" w:hAnsi="Acumin Pro"/>
          <w:sz w:val="22"/>
        </w:rPr>
        <w:t xml:space="preserve">peut pas non plus enquêter sur des personnes en raison de leur religion, leur nationalité ou leur participation à des manifestations légales. </w:t>
      </w:r>
    </w:p>
    <w:p w14:paraId="128AB11C"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sz w:val="22"/>
        </w:rPr>
        <w:t xml:space="preserve">Comme tous les organismes publics, le NZSIS est </w:t>
      </w:r>
      <w:r w:rsidRPr="00491622">
        <w:rPr>
          <w:rFonts w:ascii="Acumin Pro" w:hAnsi="Acumin Pro"/>
          <w:color w:val="000000" w:themeColor="text1"/>
          <w:sz w:val="22"/>
          <w:szCs w:val="22"/>
        </w:rPr>
        <w:t xml:space="preserve">responsable devant </w:t>
      </w:r>
      <w:r>
        <w:rPr>
          <w:rFonts w:ascii="Acumin Pro" w:hAnsi="Acumin Pro"/>
          <w:sz w:val="22"/>
        </w:rPr>
        <w:t>le médiateur, le commissaire à la protection de la vie privée, le bureau du vérificateur général et la commission de la fonction publique.</w:t>
      </w:r>
      <w:r w:rsidRPr="00491622">
        <w:rPr>
          <w:rFonts w:ascii="Acumin Pro" w:hAnsi="Acumin Pro"/>
          <w:color w:val="000000" w:themeColor="text1"/>
          <w:sz w:val="22"/>
          <w:szCs w:val="22"/>
        </w:rPr>
        <w:t xml:space="preserve"> </w:t>
      </w:r>
    </w:p>
    <w:p w14:paraId="6DB9290E" w14:textId="77777777" w:rsidR="00423715" w:rsidRPr="00491622" w:rsidRDefault="00423715" w:rsidP="00482246">
      <w:pPr>
        <w:spacing w:before="0" w:after="120"/>
        <w:ind w:left="-567"/>
        <w:rPr>
          <w:rFonts w:ascii="Acumin Pro" w:hAnsi="Acumin Pro" w:cstheme="minorHAnsi"/>
          <w:sz w:val="22"/>
          <w:szCs w:val="22"/>
        </w:rPr>
      </w:pPr>
      <w:r>
        <w:rPr>
          <w:rFonts w:ascii="Acumin Pro" w:hAnsi="Acumin Pro"/>
          <w:color w:val="000000" w:themeColor="text1"/>
          <w:sz w:val="22"/>
        </w:rPr>
        <w:t xml:space="preserve">Le NZSIS est </w:t>
      </w:r>
      <w:r w:rsidRPr="00491622">
        <w:rPr>
          <w:rFonts w:ascii="Acumin Pro" w:hAnsi="Acumin Pro"/>
          <w:sz w:val="22"/>
          <w:szCs w:val="22"/>
        </w:rPr>
        <w:t xml:space="preserve">également soumis à un contrôle rigoureux et indépendant de la part de l’inspecteur général du renseignement et de la sécurité. Son rôle est de mener des enquêtes </w:t>
      </w:r>
      <w:proofErr w:type="gramStart"/>
      <w:r w:rsidRPr="00491622">
        <w:rPr>
          <w:rFonts w:ascii="Acumin Pro" w:hAnsi="Acumin Pro"/>
          <w:sz w:val="22"/>
          <w:szCs w:val="22"/>
        </w:rPr>
        <w:t>suite au</w:t>
      </w:r>
      <w:proofErr w:type="gramEnd"/>
      <w:r w:rsidRPr="00491622">
        <w:rPr>
          <w:rFonts w:ascii="Acumin Pro" w:hAnsi="Acumin Pro"/>
          <w:sz w:val="22"/>
          <w:szCs w:val="22"/>
        </w:rPr>
        <w:t xml:space="preserve"> dépôt de plaintes à l'encontre des agences de renseignement et de vérifier qu’elles agissent conformément à la loi et à leurs obligations. Le NZSIS est également responsable devant le parlement et le gouvernement de Nouvelle-Zélande.</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65A3CD93" w:rsidR="00423715" w:rsidRPr="00ED2618" w:rsidRDefault="00423715" w:rsidP="00482246">
      <w:pPr>
        <w:spacing w:before="0" w:after="160" w:line="257" w:lineRule="auto"/>
        <w:ind w:left="-567" w:right="-568"/>
        <w:rPr>
          <w:rFonts w:ascii="Acumin Pro" w:hAnsi="Acumin Pro" w:cstheme="minorHAnsi"/>
          <w:sz w:val="22"/>
          <w:szCs w:val="22"/>
        </w:rPr>
      </w:pPr>
      <w:r>
        <w:rPr>
          <w:rFonts w:ascii="Acumin Pro" w:hAnsi="Acumin Pro"/>
          <w:b/>
          <w:bCs/>
          <w:sz w:val="22"/>
          <w:szCs w:val="22"/>
        </w:rPr>
        <w:br/>
      </w:r>
      <w:r w:rsidRPr="00482246">
        <w:rPr>
          <w:rFonts w:ascii="Acumin Pro" w:hAnsi="Acumin Pro"/>
          <w:b/>
          <w:spacing w:val="-4"/>
          <w:sz w:val="22"/>
        </w:rPr>
        <w:t>Pour obtenir davantage d'informations, consultez</w:t>
      </w:r>
      <w:r w:rsidR="00893139">
        <w:rPr>
          <w:rFonts w:ascii="Acumin Pro" w:hAnsi="Acumin Pro"/>
          <w:b/>
          <w:spacing w:val="-4"/>
          <w:sz w:val="22"/>
        </w:rPr>
        <w:t> :</w:t>
      </w:r>
      <w:r w:rsidRPr="00482246">
        <w:rPr>
          <w:rFonts w:ascii="Acumin Pro" w:hAnsi="Acumin Pro"/>
          <w:spacing w:val="-4"/>
          <w:sz w:val="22"/>
          <w:szCs w:val="22"/>
        </w:rPr>
        <w:t xml:space="preserve"> </w:t>
      </w:r>
      <w:hyperlink r:id="rId25">
        <w:r w:rsidRPr="00482246">
          <w:rPr>
            <w:rStyle w:val="Hyperlink"/>
            <w:rFonts w:ascii="Acumin Pro" w:hAnsi="Acumin Pro"/>
            <w:color w:val="467886"/>
            <w:spacing w:val="-4"/>
            <w:sz w:val="22"/>
          </w:rPr>
          <w:t>Home | New Zealand Security Intelligence Service</w:t>
        </w:r>
      </w:hyperlink>
      <w:r w:rsidRPr="00482246">
        <w:rPr>
          <w:rFonts w:ascii="Acumin Pro" w:hAnsi="Acumin Pro"/>
          <w:spacing w:val="-4"/>
          <w:sz w:val="22"/>
          <w:szCs w:val="22"/>
        </w:rPr>
        <w:br/>
      </w:r>
      <w:r>
        <w:rPr>
          <w:rFonts w:ascii="Acumin Pro" w:hAnsi="Acumin Pro"/>
          <w:b/>
          <w:sz w:val="22"/>
        </w:rPr>
        <w:t>Informez-vous</w:t>
      </w:r>
      <w:r w:rsidR="00893139">
        <w:rPr>
          <w:rFonts w:ascii="Acumin Pro" w:hAnsi="Acumin Pro"/>
          <w:b/>
          <w:sz w:val="22"/>
        </w:rPr>
        <w:t> :</w:t>
      </w:r>
      <w:r w:rsidRPr="00491622">
        <w:rPr>
          <w:rFonts w:ascii="Acumin Pro" w:hAnsi="Acumin Pro"/>
          <w:sz w:val="22"/>
          <w:szCs w:val="22"/>
        </w:rPr>
        <w:t xml:space="preserve"> </w:t>
      </w:r>
      <w:hyperlink r:id="rId26">
        <w:r>
          <w:rPr>
            <w:rStyle w:val="Hyperlink"/>
            <w:rFonts w:ascii="Acumin Pro" w:hAnsi="Acumin Pro"/>
            <w:color w:val="467886"/>
            <w:sz w:val="22"/>
          </w:rPr>
          <w:t>Engagement | New Zealand Security Intelligence Service</w:t>
        </w:r>
      </w:hyperlink>
      <w:r>
        <w:rPr>
          <w:rFonts w:ascii="Acumin Pro" w:hAnsi="Acumin Pro"/>
          <w:sz w:val="22"/>
          <w:szCs w:val="22"/>
        </w:rPr>
        <w:br/>
      </w:r>
      <w:r>
        <w:rPr>
          <w:rFonts w:ascii="Acumin Pro" w:hAnsi="Acumin Pro"/>
          <w:b/>
          <w:sz w:val="22"/>
        </w:rPr>
        <w:t>Effectuez un signalement</w:t>
      </w:r>
      <w:r w:rsidR="00893139">
        <w:rPr>
          <w:rFonts w:ascii="Acumin Pro" w:hAnsi="Acumin Pro"/>
          <w:b/>
          <w:sz w:val="22"/>
        </w:rPr>
        <w:t> :</w:t>
      </w:r>
      <w:r w:rsidRPr="00491622">
        <w:rPr>
          <w:rFonts w:ascii="Acumin Pro" w:hAnsi="Acumin Pro"/>
          <w:sz w:val="22"/>
          <w:szCs w:val="22"/>
        </w:rPr>
        <w:t xml:space="preserve"> </w:t>
      </w:r>
      <w:hyperlink r:id="rId27" w:anchor="a0oqnn86a0h5j4obesc8udlij">
        <w:r>
          <w:rPr>
            <w:rStyle w:val="Hyperlink"/>
            <w:rFonts w:ascii="Acumin Pro" w:hAnsi="Acumin Pro"/>
            <w:color w:val="467886"/>
            <w:sz w:val="22"/>
          </w:rPr>
          <w:t>Reporting a national security concern</w:t>
        </w:r>
      </w:hyperlink>
      <w:bookmarkEnd w:id="1"/>
    </w:p>
    <w:p w14:paraId="69B69125" w14:textId="6BE79E4D" w:rsidR="00423715" w:rsidRDefault="00CC70DF" w:rsidP="00CC70DF">
      <w:pPr>
        <w:keepLines w:val="0"/>
        <w:rPr>
          <w:rFonts w:ascii="Acumin Pro" w:hAnsi="Acumin Pro"/>
          <w:b/>
          <w:color w:val="3A1335"/>
          <w:kern w:val="32"/>
          <w:sz w:val="32"/>
        </w:rPr>
      </w:pPr>
      <w:r>
        <w:rPr>
          <w:rFonts w:ascii="Acumin Pro" w:hAnsi="Acumin Pro"/>
          <w:b/>
          <w:color w:val="3A1335"/>
          <w:kern w:val="32"/>
          <w:sz w:val="32"/>
        </w:rPr>
        <w:br w:type="page"/>
      </w:r>
      <w:r w:rsidR="0066114C" w:rsidRPr="00722772">
        <w:rPr>
          <w:rFonts w:ascii="Acumin Pro" w:hAnsi="Acumin Pro"/>
          <w:noProof/>
          <w:sz w:val="22"/>
          <w:szCs w:val="22"/>
        </w:rPr>
        <w:lastRenderedPageBreak/>
        <w:drawing>
          <wp:anchor distT="0" distB="0" distL="114300" distR="114300" simplePos="0" relativeHeight="251660301" behindDoc="1" locked="0" layoutInCell="1" allowOverlap="1" wp14:anchorId="14850901" wp14:editId="3FD9077D">
            <wp:simplePos x="0" y="0"/>
            <wp:positionH relativeFrom="column">
              <wp:posOffset>-789940</wp:posOffset>
            </wp:positionH>
            <wp:positionV relativeFrom="paragraph">
              <wp:posOffset>-397510</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114C">
        <w:rPr>
          <w:noProof/>
        </w:rPr>
        <mc:AlternateContent>
          <mc:Choice Requires="wps">
            <w:drawing>
              <wp:anchor distT="0" distB="0" distL="114300" distR="114300" simplePos="0" relativeHeight="251658246" behindDoc="1" locked="0" layoutInCell="1" allowOverlap="1" wp14:anchorId="0A6F6FEC" wp14:editId="4A1834CA">
                <wp:simplePos x="0" y="0"/>
                <wp:positionH relativeFrom="margin">
                  <wp:posOffset>-641985</wp:posOffset>
                </wp:positionH>
                <wp:positionV relativeFrom="paragraph">
                  <wp:posOffset>-548006</wp:posOffset>
                </wp:positionV>
                <wp:extent cx="6591300" cy="9553575"/>
                <wp:effectExtent l="38100" t="38100" r="38100" b="4762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55357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margin-left:-50.55pt;margin-top:-43.15pt;width:519pt;height:752.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55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" adj="-11796480,,5400" path="m627953,l6591300,r,l6591300,8925622v,346809,-281144,627953,-627953,627953l,9553575r,l,627953c,281144,281144,,627953,xe" filled="f" strokecolor="#3a1335" strokeweight="6pt">
                <v:stroke joinstyle="miter"/>
                <v:formulas/>
                <v:path arrowok="t" o:connecttype="custom" o:connectlocs="627953,0;6591300,0;6591300,0;6591300,8925622;5963347,9553575;0,9553575;0,9553575;0,627953;627953,0" o:connectangles="0,0,0,0,0,0,0,0,0" textboxrect="0,0,6591300,9553575"/>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sidRPr="00722772">
        <w:rPr>
          <w:rFonts w:ascii="Acumin Pro" w:hAnsi="Acumin Pro"/>
          <w:sz w:val="22"/>
          <w:szCs w:val="22"/>
        </w:rPr>
        <w:br/>
      </w:r>
      <w:bookmarkStart w:id="2" w:name="_Hlk199169935"/>
    </w:p>
    <w:p w14:paraId="0B0C8EB5" w14:textId="70D359F6" w:rsidR="00CC70DF" w:rsidRPr="00CC70DF" w:rsidRDefault="00CC70DF" w:rsidP="00CC70DF">
      <w:pPr>
        <w:keepLines w:val="0"/>
        <w:rPr>
          <w:rFonts w:ascii="Acumin Pro" w:hAnsi="Acumin Pro"/>
          <w:b/>
          <w:color w:val="3A1335"/>
          <w:kern w:val="32"/>
          <w:sz w:val="32"/>
        </w:rPr>
        <w:sectPr w:rsidR="00CC70DF" w:rsidRPr="00CC70DF" w:rsidSect="00423715">
          <w:type w:val="continuous"/>
          <w:pgSz w:w="11907" w:h="16840" w:code="9"/>
          <w:pgMar w:top="1418" w:right="1418" w:bottom="992" w:left="1701" w:header="425" w:footer="635" w:gutter="0"/>
          <w:cols w:space="1134"/>
          <w:titlePg/>
          <w:docGrid w:linePitch="360"/>
        </w:sectPr>
      </w:pPr>
    </w:p>
    <w:p w14:paraId="479356F5" w14:textId="268E3464" w:rsidR="00423715" w:rsidRPr="00D5054C" w:rsidRDefault="00423715" w:rsidP="00CC70DF">
      <w:pPr>
        <w:spacing w:after="120" w:line="276" w:lineRule="auto"/>
        <w:ind w:left="-567"/>
        <w:rPr>
          <w:rFonts w:ascii="Acumin Pro" w:hAnsi="Acumin Pro"/>
          <w:sz w:val="22"/>
          <w:szCs w:val="22"/>
        </w:rPr>
      </w:pPr>
      <w:r>
        <w:rPr>
          <w:rFonts w:ascii="Acumin Pro" w:hAnsi="Acumin Pro"/>
          <w:sz w:val="22"/>
        </w:rPr>
        <w:t xml:space="preserve">Le bureau de la sécurité des communications du gouvernement (GCSB) est </w:t>
      </w:r>
      <w:r w:rsidR="00ED4F65">
        <w:rPr>
          <w:rFonts w:ascii="Acumin Pro" w:hAnsi="Acumin Pro"/>
          <w:sz w:val="22"/>
        </w:rPr>
        <w:t>l'</w:t>
      </w:r>
      <w:r>
        <w:rPr>
          <w:rFonts w:ascii="Acumin Pro" w:hAnsi="Acumin Pro"/>
          <w:sz w:val="22"/>
        </w:rPr>
        <w:t xml:space="preserve">agence </w:t>
      </w:r>
      <w:r w:rsidR="00ED4F65">
        <w:rPr>
          <w:rFonts w:ascii="Acumin Pro" w:hAnsi="Acumin Pro"/>
          <w:sz w:val="22"/>
        </w:rPr>
        <w:t xml:space="preserve">principale </w:t>
      </w:r>
      <w:r>
        <w:rPr>
          <w:rFonts w:ascii="Acumin Pro" w:hAnsi="Acumin Pro"/>
          <w:sz w:val="22"/>
        </w:rPr>
        <w:t>de renseignements d'origine électromagnétique</w:t>
      </w:r>
      <w:r w:rsidR="00ED4F65">
        <w:rPr>
          <w:rFonts w:ascii="Acumin Pro" w:hAnsi="Acumin Pro"/>
          <w:sz w:val="22"/>
        </w:rPr>
        <w:t xml:space="preserve"> en Nouvelle-Zélande</w:t>
      </w:r>
      <w:r>
        <w:rPr>
          <w:rFonts w:ascii="Acumin Pro" w:hAnsi="Acumin Pro"/>
          <w:sz w:val="22"/>
        </w:rPr>
        <w:t>. Il s'agit des renseignements obtenus à partir des communications électroniques.  </w:t>
      </w:r>
    </w:p>
    <w:p w14:paraId="7A7BC5B3" w14:textId="77777777" w:rsidR="00423715" w:rsidRPr="00491622" w:rsidRDefault="00423715" w:rsidP="00482246">
      <w:pPr>
        <w:spacing w:after="120" w:line="276" w:lineRule="auto"/>
        <w:ind w:left="-567"/>
        <w:rPr>
          <w:rFonts w:ascii="Acumin Pro" w:hAnsi="Acumin Pro"/>
          <w:sz w:val="22"/>
          <w:szCs w:val="22"/>
        </w:rPr>
      </w:pPr>
      <w:r>
        <w:rPr>
          <w:rFonts w:ascii="Acumin Pro" w:hAnsi="Acumin Pro"/>
          <w:sz w:val="22"/>
        </w:rPr>
        <w:t>Ces renseignements sont mis à la disposition des pouvoirs publics pour les aider dans l'exercice de leurs fonctions et leurs décisions. Le GCSB reçoit également des renseignements de la part de partenaires étrangers, notamment, l'Australie, les États-Unis, le Royaume-Uni et le Canada. La compilation des renseignements obtenus par le GCSB et ceux reçus de l'étranger aide la Nouvelle-Zélande à mieux appréhender le monde et gérer les menaces à la sécurité nationale. </w:t>
      </w:r>
    </w:p>
    <w:p w14:paraId="795C55EA" w14:textId="77777777" w:rsidR="00423715" w:rsidRDefault="00423715" w:rsidP="00482246">
      <w:pPr>
        <w:spacing w:after="120" w:line="276" w:lineRule="auto"/>
        <w:ind w:left="-567"/>
        <w:rPr>
          <w:rFonts w:ascii="Acumin Pro" w:hAnsi="Acumin Pro"/>
          <w:sz w:val="22"/>
          <w:szCs w:val="22"/>
        </w:rPr>
      </w:pPr>
      <w:r>
        <w:rPr>
          <w:rFonts w:ascii="Acumin Pro" w:hAnsi="Acumin Pro"/>
          <w:sz w:val="22"/>
        </w:rPr>
        <w:t>Le GCSB est également le service responsable de la cybersécurité par l'intermédiaire du centre national de cybersécurité (National Cyber Security Centre - NCSC) qui est l'unité commerciale du GCSB. Le NCSC fournit des services de cybersécurité à toute la Nouvelle-Zélande : particuliers, petites et moyennes entreprises et organisations, grandes entreprises, secteur public et organisations d'importance nationale. </w:t>
      </w:r>
    </w:p>
    <w:p w14:paraId="6658F5CE" w14:textId="4ECA035B" w:rsidR="00423715" w:rsidRPr="006002B2" w:rsidRDefault="00423715" w:rsidP="00482246">
      <w:pPr>
        <w:spacing w:after="120" w:line="276" w:lineRule="auto"/>
        <w:ind w:left="-567"/>
        <w:rPr>
          <w:rFonts w:ascii="Acumin Pro" w:hAnsi="Acumin Pro"/>
          <w:sz w:val="22"/>
          <w:szCs w:val="22"/>
        </w:rPr>
      </w:pPr>
      <w:hyperlink r:id="rId29" w:tgtFrame="_blank" w:history="1">
        <w:r>
          <w:rPr>
            <w:rStyle w:val="Hyperlink"/>
            <w:rFonts w:ascii="Acumin Pro" w:hAnsi="Acumin Pro"/>
            <w:sz w:val="22"/>
            <w:u w:val="none"/>
          </w:rPr>
          <w:t>Own Your Online</w:t>
        </w:r>
      </w:hyperlink>
      <w:r>
        <w:rPr>
          <w:rFonts w:ascii="Acumin Pro" w:hAnsi="Acumin Pro"/>
          <w:sz w:val="22"/>
        </w:rPr>
        <w:t xml:space="preserve"> est le site Internet du NCSC dont la mission est de fournir aux particuliers et aux petites et moyennes entreprises des conseils et des orientations en matière de cybersécurité. Pour signaler un incident de cybersécurité, veuillez consulter </w:t>
      </w:r>
      <w:hyperlink r:id="rId30" w:tgtFrame="_blank" w:history="1">
        <w:r>
          <w:rPr>
            <w:rStyle w:val="Hyperlink"/>
            <w:rFonts w:ascii="Acumin Pro" w:hAnsi="Acumin Pro"/>
            <w:sz w:val="22"/>
            <w:u w:val="none"/>
          </w:rPr>
          <w:t>Own Your Online</w:t>
        </w:r>
      </w:hyperlink>
      <w:r>
        <w:rPr>
          <w:rFonts w:ascii="Acumin Pro" w:hAnsi="Acumin Pro"/>
          <w:sz w:val="22"/>
        </w:rPr>
        <w:t xml:space="preserve"> ou adressez-vous au </w:t>
      </w:r>
      <w:hyperlink r:id="rId31" w:tgtFrame="_blank" w:history="1">
        <w:r>
          <w:rPr>
            <w:rStyle w:val="Hyperlink"/>
            <w:rFonts w:ascii="Acumin Pro" w:hAnsi="Acumin Pro"/>
            <w:sz w:val="22"/>
            <w:u w:val="none"/>
          </w:rPr>
          <w:t>centre national de cybersécurité</w:t>
        </w:r>
      </w:hyperlink>
      <w:r>
        <w:rPr>
          <w:rFonts w:ascii="Acumin Pro" w:hAnsi="Acumin Pro"/>
          <w:sz w:val="22"/>
        </w:rPr>
        <w:t>. </w:t>
      </w:r>
    </w:p>
    <w:p w14:paraId="7DDACD27" w14:textId="15733600" w:rsidR="00423715" w:rsidRDefault="00423715" w:rsidP="00482246">
      <w:pPr>
        <w:spacing w:after="120" w:line="276" w:lineRule="auto"/>
        <w:ind w:left="-567"/>
        <w:rPr>
          <w:rFonts w:ascii="Acumin Pro" w:hAnsi="Acumin Pro"/>
          <w:sz w:val="22"/>
          <w:szCs w:val="22"/>
        </w:rPr>
      </w:pPr>
    </w:p>
    <w:p w14:paraId="0A3B9A6F" w14:textId="0CEF0386" w:rsidR="00423715" w:rsidRPr="00491622" w:rsidRDefault="00423715" w:rsidP="00CC70DF">
      <w:pPr>
        <w:spacing w:after="120" w:line="276" w:lineRule="auto"/>
        <w:ind w:left="-567"/>
        <w:rPr>
          <w:rFonts w:ascii="Acumin Pro" w:hAnsi="Acumin Pro"/>
          <w:sz w:val="22"/>
          <w:szCs w:val="22"/>
        </w:rPr>
      </w:pPr>
      <w:r>
        <w:rPr>
          <w:rFonts w:ascii="Acumin Pro" w:hAnsi="Acumin Pro"/>
          <w:sz w:val="22"/>
        </w:rPr>
        <w:t>Le GCSB travaille en étroite collaboration avec le Service de renseignement intérieur de Nouvelle-Zélande (NZSIS). Le NZSIS enquête sur les menaces envers la sûreté nationale de la Nouvelle-Zélande, notamment sur la protection de la démocratie néo-zélandaise, les menaces d'ingérence étrangère et le droit de chacun à vivre et à s'exprimer librement. </w:t>
      </w:r>
    </w:p>
    <w:p w14:paraId="2BA03871" w14:textId="77777777" w:rsidR="00423715" w:rsidRPr="00491622" w:rsidRDefault="00423715" w:rsidP="00482246">
      <w:pPr>
        <w:spacing w:after="120" w:line="276" w:lineRule="auto"/>
        <w:ind w:left="-567"/>
        <w:rPr>
          <w:rFonts w:ascii="Acumin Pro" w:hAnsi="Acumin Pro"/>
          <w:sz w:val="22"/>
          <w:szCs w:val="22"/>
        </w:rPr>
      </w:pPr>
      <w:r>
        <w:rPr>
          <w:rFonts w:ascii="Acumin Pro" w:hAnsi="Acumin Pro"/>
          <w:sz w:val="22"/>
        </w:rPr>
        <w:t>De nombreuses dispositions sont en place pour garantir que le GCSB agit toujours en conformité avec loi néo-zélandaise et ses obligations en matière de droits de l'homme. </w:t>
      </w:r>
    </w:p>
    <w:p w14:paraId="3CA20FA8" w14:textId="77777777" w:rsidR="00423715" w:rsidRPr="00491622" w:rsidRDefault="00423715" w:rsidP="00CC70DF">
      <w:pPr>
        <w:spacing w:after="120" w:line="276" w:lineRule="auto"/>
        <w:ind w:left="-567" w:right="-142"/>
        <w:rPr>
          <w:rFonts w:ascii="Acumin Pro" w:hAnsi="Acumin Pro"/>
          <w:sz w:val="22"/>
          <w:szCs w:val="22"/>
        </w:rPr>
      </w:pPr>
      <w:r>
        <w:rPr>
          <w:rFonts w:ascii="Acumin Pro" w:hAnsi="Acumin Pro"/>
          <w:sz w:val="22"/>
        </w:rPr>
        <w:t>Le GCSB exerce ses fonctions en vertu de la loi de 2017 sur le renseignement et la sécurité. Cette loi garantit que la société néo-zélandaise est libre, ouverte et démocratique.  </w:t>
      </w:r>
    </w:p>
    <w:p w14:paraId="303F7A3F" w14:textId="51069C77" w:rsidR="00423715" w:rsidRPr="00491622" w:rsidRDefault="00423715" w:rsidP="00482246">
      <w:pPr>
        <w:spacing w:after="120" w:line="276" w:lineRule="auto"/>
        <w:ind w:left="-567"/>
        <w:rPr>
          <w:rFonts w:ascii="Acumin Pro" w:hAnsi="Acumin Pro"/>
          <w:sz w:val="22"/>
          <w:szCs w:val="22"/>
        </w:rPr>
      </w:pPr>
      <w:r>
        <w:rPr>
          <w:rFonts w:ascii="Acumin Pro" w:hAnsi="Acumin Pro"/>
          <w:sz w:val="22"/>
        </w:rPr>
        <w:t>Le GCSB est une administration et à ce titre est responsable devant le médiateur, le commissaire à la protection de la vie privée, le bureau du vérificateur général et la commission de la fonction publique.</w:t>
      </w:r>
      <w:r w:rsidRPr="00491622">
        <w:rPr>
          <w:rFonts w:ascii="Arial" w:hAnsi="Arial"/>
          <w:sz w:val="22"/>
          <w:szCs w:val="22"/>
        </w:rPr>
        <w:t> </w:t>
      </w:r>
      <w:r>
        <w:rPr>
          <w:rFonts w:ascii="Acumin Pro" w:hAnsi="Acumin Pro"/>
          <w:sz w:val="22"/>
        </w:rPr>
        <w:t xml:space="preserve"> Le GCSB est également soumis à un contrôle rigoureux et indépendant de l’inspecteur général du renseignement et de la sécurité. L'inspecteur général enquête </w:t>
      </w:r>
      <w:proofErr w:type="gramStart"/>
      <w:r>
        <w:rPr>
          <w:rFonts w:ascii="Acumin Pro" w:hAnsi="Acumin Pro"/>
          <w:sz w:val="22"/>
        </w:rPr>
        <w:t>suite à</w:t>
      </w:r>
      <w:proofErr w:type="gramEnd"/>
      <w:r>
        <w:rPr>
          <w:rFonts w:ascii="Acumin Pro" w:hAnsi="Acumin Pro"/>
          <w:sz w:val="22"/>
        </w:rPr>
        <w:t xml:space="preserve"> l'enregistrement de plaintes à l'encontre des agences de renseignement afin de garantir qu’elles respectent la loi et leurs obligations</w:t>
      </w:r>
      <w:r w:rsidR="00AB5B80">
        <w:rPr>
          <w:rFonts w:ascii="Acumin Pro" w:hAnsi="Acumin Pro"/>
          <w:sz w:val="22"/>
        </w:rPr>
        <w:t>.</w:t>
      </w:r>
      <w:r>
        <w:rPr>
          <w:rFonts w:ascii="Acumin Pro" w:hAnsi="Acumin Pro"/>
          <w:sz w:val="22"/>
        </w:rPr>
        <w:t xml:space="preserve"> Le GCSB est également responsable devant le parlement et le gouvernement de Nouvelle-Zélande.  </w:t>
      </w:r>
    </w:p>
    <w:p w14:paraId="0E41910A" w14:textId="1148899B" w:rsidR="00CC70DF" w:rsidRDefault="00423715" w:rsidP="00423715">
      <w:pPr>
        <w:spacing w:line="276" w:lineRule="auto"/>
        <w:ind w:left="-567"/>
        <w:rPr>
          <w:rFonts w:ascii="Acumin Pro" w:hAnsi="Acumin Pro"/>
          <w:sz w:val="22"/>
        </w:rPr>
      </w:pPr>
      <w:r>
        <w:rPr>
          <w:rFonts w:ascii="Acumin Pro" w:hAnsi="Acumin Pro"/>
          <w:sz w:val="22"/>
        </w:rPr>
        <w:t xml:space="preserve">Le GCSB emploie environ 600 personnes. Ces employés sont issus de la </w:t>
      </w:r>
      <w:proofErr w:type="gramStart"/>
      <w:r>
        <w:rPr>
          <w:rFonts w:ascii="Acumin Pro" w:hAnsi="Acumin Pro"/>
          <w:sz w:val="22"/>
        </w:rPr>
        <w:t xml:space="preserve">société </w:t>
      </w:r>
      <w:r w:rsidRPr="00491622">
        <w:rPr>
          <w:rFonts w:ascii="Arial" w:hAnsi="Arial"/>
          <w:sz w:val="22"/>
          <w:szCs w:val="22"/>
        </w:rPr>
        <w:t> </w:t>
      </w:r>
      <w:r>
        <w:rPr>
          <w:rFonts w:ascii="Acumin Pro" w:hAnsi="Acumin Pro"/>
          <w:sz w:val="22"/>
        </w:rPr>
        <w:t>néo</w:t>
      </w:r>
      <w:proofErr w:type="gramEnd"/>
      <w:r>
        <w:rPr>
          <w:rFonts w:ascii="Acumin Pro" w:hAnsi="Acumin Pro"/>
          <w:sz w:val="22"/>
        </w:rPr>
        <w:t xml:space="preserve">-zélandaise et remplissent une multitude de rôles. Le GCSB dispose d'un site Internet public </w:t>
      </w:r>
      <w:hyperlink r:id="rId32" w:tgtFrame="_blank" w:history="1">
        <w:r>
          <w:rPr>
            <w:rStyle w:val="Hyperlink"/>
            <w:rFonts w:ascii="Acumin Pro" w:hAnsi="Acumin Pro"/>
            <w:sz w:val="22"/>
          </w:rPr>
          <w:t>www.gcsb.govt.nz</w:t>
        </w:r>
      </w:hyperlink>
      <w:r>
        <w:rPr>
          <w:rFonts w:ascii="Acumin Pro" w:hAnsi="Acumin Pro"/>
          <w:sz w:val="22"/>
        </w:rPr>
        <w:t xml:space="preserve"> qui explique plus en détail son travail</w:t>
      </w:r>
      <w:bookmarkEnd w:id="2"/>
      <w:r>
        <w:rPr>
          <w:rFonts w:ascii="Acumin Pro" w:hAnsi="Acumin Pro"/>
          <w:sz w:val="22"/>
        </w:rPr>
        <w:t>. </w:t>
      </w:r>
    </w:p>
    <w:p w14:paraId="3421D72C" w14:textId="2FCC4470" w:rsidR="00423715" w:rsidRPr="00CC70DF" w:rsidRDefault="00423715" w:rsidP="00CC70DF">
      <w:pPr>
        <w:keepLines w:val="0"/>
        <w:rPr>
          <w:rFonts w:ascii="Acumin Pro" w:hAnsi="Acumin Pro"/>
          <w:sz w:val="22"/>
        </w:rPr>
        <w:sectPr w:rsidR="00423715" w:rsidRPr="00CC70DF" w:rsidSect="00423715">
          <w:type w:val="continuous"/>
          <w:pgSz w:w="11907" w:h="16840" w:code="9"/>
          <w:pgMar w:top="1418" w:right="1418" w:bottom="992" w:left="1701" w:header="425" w:footer="635" w:gutter="0"/>
          <w:cols w:num="2" w:space="1134"/>
          <w:titlePg/>
          <w:docGrid w:linePitch="360"/>
        </w:sectPr>
      </w:pPr>
    </w:p>
    <w:p w14:paraId="0465F16C" w14:textId="5219357B" w:rsidR="00423715" w:rsidRDefault="00CC70DF"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6BE2F92B">
                <wp:simplePos x="0" y="0"/>
                <wp:positionH relativeFrom="margin">
                  <wp:posOffset>-719943</wp:posOffset>
                </wp:positionH>
                <wp:positionV relativeFrom="paragraph">
                  <wp:posOffset>-215265</wp:posOffset>
                </wp:positionV>
                <wp:extent cx="6685280" cy="8117359"/>
                <wp:effectExtent l="38100" t="38100" r="33020" b="3619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8117359"/>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6.7pt;margin-top:-16.95pt;width:526.4pt;height:639.1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81173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" adj="-11796480,,5400" path="m864273,l6685280,r,l6685280,7253086v,477325,-386948,864273,-864273,864273l,8117359r,l,864273c,386948,386948,,864273,xe" filled="f" strokecolor="#3a1335" strokeweight="6pt">
                <v:stroke joinstyle="miter"/>
                <v:formulas/>
                <v:path arrowok="t" o:connecttype="custom" o:connectlocs="864273,0;6685280,0;6685280,0;6685280,7253086;5821007,8117359;0,8117359;0,8117359;0,864273;864273,0" o:connectangles="0,0,0,0,0,0,0,0,0" textboxrect="0,0,6685280,8117359"/>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57E25DF6">
            <wp:simplePos x="0" y="0"/>
            <wp:positionH relativeFrom="column">
              <wp:posOffset>-313104</wp:posOffset>
            </wp:positionH>
            <wp:positionV relativeFrom="paragraph">
              <wp:posOffset>18269</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3BB9A" w14:textId="09622948" w:rsidR="00423715" w:rsidRDefault="00423715" w:rsidP="00482246">
      <w:pPr>
        <w:spacing w:line="276" w:lineRule="auto"/>
        <w:rPr>
          <w:rFonts w:ascii="Acumin Pro" w:hAnsi="Acumin Pro" w:cs="Arial"/>
          <w:b/>
          <w:bCs/>
          <w:color w:val="00908B"/>
          <w:kern w:val="32"/>
          <w:sz w:val="32"/>
          <w:szCs w:val="32"/>
        </w:rPr>
      </w:pPr>
    </w:p>
    <w:p w14:paraId="39E28B48" w14:textId="77777777" w:rsidR="00423715" w:rsidRDefault="00423715" w:rsidP="00CC70DF">
      <w:pPr>
        <w:rPr>
          <w:rFonts w:ascii="Acumin Pro" w:hAnsi="Acumin Pro" w:cstheme="minorHAnsi"/>
          <w:sz w:val="22"/>
          <w:szCs w:val="22"/>
        </w:rPr>
      </w:pPr>
      <w:bookmarkStart w:id="3" w:name="_Hlk199170008"/>
    </w:p>
    <w:p w14:paraId="0430DAFD" w14:textId="77777777" w:rsidR="00CC70DF" w:rsidRDefault="00CC70DF" w:rsidP="00CC70DF">
      <w:pPr>
        <w:rPr>
          <w:rFonts w:ascii="Acumin Pro" w:hAnsi="Acumin Pro" w:cstheme="minorHAnsi"/>
          <w:sz w:val="22"/>
          <w:szCs w:val="22"/>
        </w:rPr>
        <w:sectPr w:rsidR="00CC70DF" w:rsidSect="00423715">
          <w:type w:val="continuous"/>
          <w:pgSz w:w="11907" w:h="16840" w:code="9"/>
          <w:pgMar w:top="1418" w:right="1418" w:bottom="992" w:left="1701" w:header="425" w:footer="635" w:gutter="0"/>
          <w:cols w:space="1134"/>
          <w:titlePg/>
          <w:docGrid w:linePitch="360"/>
        </w:sectPr>
      </w:pPr>
    </w:p>
    <w:p w14:paraId="614DDFCB" w14:textId="27CADAE0" w:rsidR="00423715" w:rsidRPr="00CC70DF" w:rsidRDefault="00423715" w:rsidP="00CC70DF">
      <w:pPr>
        <w:ind w:left="-426"/>
        <w:rPr>
          <w:rFonts w:ascii="Acumin Pro" w:hAnsi="Acumin Pro" w:cstheme="minorHAnsi"/>
          <w:spacing w:val="-2"/>
          <w:sz w:val="22"/>
          <w:szCs w:val="22"/>
        </w:rPr>
      </w:pPr>
      <w:r w:rsidRPr="00CC70DF">
        <w:rPr>
          <w:rFonts w:ascii="Acumin Pro" w:hAnsi="Acumin Pro"/>
          <w:spacing w:val="-2"/>
          <w:sz w:val="22"/>
        </w:rPr>
        <w:t>La commission des droits de l'homme - Te Kāhui Tika Tangata - est l'institution nationale garante des droits de l'homme (INDH) de Nouvelle-Zélande. « He whakamana tangata. Une vie digne pour tous » est notre devise que nous mettons en pratique en protégeant et en renforçant les droits humains de tous les Néo-Zélandais en veillant à ce que les principes du Traité de Waitangi soient inclus dans toutes nos démarches.</w:t>
      </w:r>
    </w:p>
    <w:p w14:paraId="038F5E51" w14:textId="0AB21E0B" w:rsidR="00423715" w:rsidRPr="00D42655" w:rsidRDefault="00423715" w:rsidP="00890707">
      <w:pPr>
        <w:ind w:left="-425"/>
        <w:rPr>
          <w:rFonts w:ascii="Acumin Pro" w:hAnsi="Acumin Pro" w:cstheme="minorHAnsi"/>
          <w:sz w:val="22"/>
          <w:szCs w:val="22"/>
        </w:rPr>
      </w:pPr>
      <w:r>
        <w:rPr>
          <w:rFonts w:ascii="Acumin Pro" w:hAnsi="Acumin Pro"/>
          <w:sz w:val="22"/>
        </w:rPr>
        <w:t>La commission des droits de l’homme compte quatre commissaires, un partenaire de gouvernance des droits autochtones et environ 60 employés répartis entre Auckland, Wellington et Christchurch.</w:t>
      </w:r>
    </w:p>
    <w:p w14:paraId="2E220EA9" w14:textId="303BC6EA" w:rsidR="00423715" w:rsidRPr="00D42655" w:rsidRDefault="00423715" w:rsidP="00890707">
      <w:pPr>
        <w:ind w:left="-425"/>
        <w:rPr>
          <w:rFonts w:ascii="Acumin Pro" w:eastAsia="Aptos" w:hAnsi="Acumin Pro" w:cstheme="minorHAnsi"/>
          <w:sz w:val="22"/>
          <w:szCs w:val="22"/>
        </w:rPr>
      </w:pPr>
      <w:r>
        <w:rPr>
          <w:rFonts w:ascii="Acumin Pro" w:hAnsi="Acumin Pro"/>
          <w:sz w:val="22"/>
        </w:rPr>
        <w:t>Nous assurons la promotion et la protection des droits humains de diverses façons. Nous proposons notamment des services gratuits et confidentiels pour aider le public à faire examiner les plaintes concernant des actes de discrimination en vertu de la loi sur les droits humains de 1993.</w:t>
      </w:r>
    </w:p>
    <w:p w14:paraId="6B993CF0" w14:textId="77777777" w:rsidR="00423715" w:rsidRDefault="00423715" w:rsidP="00890707">
      <w:pPr>
        <w:ind w:left="-425"/>
        <w:rPr>
          <w:rFonts w:ascii="Acumin Pro" w:eastAsia="Aptos" w:hAnsi="Acumin Pro" w:cstheme="minorHAnsi"/>
          <w:sz w:val="22"/>
          <w:szCs w:val="22"/>
        </w:rPr>
      </w:pPr>
      <w:r>
        <w:rPr>
          <w:rFonts w:ascii="Acumin Pro" w:hAnsi="Acumin Pro"/>
          <w:sz w:val="22"/>
        </w:rPr>
        <w:t xml:space="preserve">Nos conseillers et nos médiateurs sont en contact avec le public pour fournir des informations, favoriser des conclusions rapides et proposer des services de résolution des litiges. Nos services sont gratuits et confidentiels. Nous n'enquêtons pas sur les plaintes et nous ne qualifions pas juridiquement les faits. </w:t>
      </w:r>
    </w:p>
    <w:p w14:paraId="728418C1" w14:textId="77777777" w:rsidR="00890707" w:rsidRDefault="00890707" w:rsidP="00890707">
      <w:pPr>
        <w:ind w:left="-425"/>
        <w:rPr>
          <w:rFonts w:ascii="Acumin Pro" w:eastAsia="Aptos" w:hAnsi="Acumin Pro" w:cstheme="minorHAnsi"/>
          <w:sz w:val="22"/>
          <w:szCs w:val="22"/>
        </w:rPr>
      </w:pPr>
    </w:p>
    <w:p w14:paraId="776E60D3" w14:textId="77777777" w:rsidR="00890707" w:rsidRDefault="00890707" w:rsidP="00890707">
      <w:pPr>
        <w:rPr>
          <w:rFonts w:ascii="Acumin Pro" w:eastAsia="Aptos" w:hAnsi="Acumin Pro" w:cstheme="minorHAnsi"/>
          <w:sz w:val="22"/>
          <w:szCs w:val="22"/>
        </w:rPr>
      </w:pPr>
    </w:p>
    <w:p w14:paraId="70C3B154" w14:textId="747DF007" w:rsidR="00423715" w:rsidRPr="00D42655" w:rsidRDefault="00423715" w:rsidP="00CC70DF">
      <w:pPr>
        <w:ind w:left="-426"/>
        <w:rPr>
          <w:rFonts w:ascii="Acumin Pro" w:eastAsia="Aptos" w:hAnsi="Acumin Pro" w:cstheme="minorHAnsi"/>
          <w:sz w:val="22"/>
          <w:szCs w:val="22"/>
        </w:rPr>
      </w:pPr>
      <w:r>
        <w:rPr>
          <w:rFonts w:ascii="Acumin Pro" w:hAnsi="Acumin Pro"/>
          <w:sz w:val="22"/>
        </w:rPr>
        <w:t xml:space="preserve">Vous pouvez déposer une plainte si vous considérez avoir été victime de discrimination en raison de votre race, de votre religion, de votre sexe, de votre expression de genre, de votre orientation sexuelle, de votre handicap ou d’une autre caractéristique personnelle. </w:t>
      </w:r>
    </w:p>
    <w:p w14:paraId="1E76E452" w14:textId="77777777"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Vous pouvez également porter plainte si vous avez été victime de harcèlement sexuel, de comportement sexuel non désiré ou si quelqu’un tente de changer votre orientation sexuelle ou votre expression de genre. </w:t>
      </w:r>
    </w:p>
    <w:p w14:paraId="5221DA8E" w14:textId="1CBB0486" w:rsidR="00423715" w:rsidRPr="00D42655" w:rsidRDefault="00423715" w:rsidP="00890707">
      <w:pPr>
        <w:ind w:left="-426"/>
        <w:rPr>
          <w:rFonts w:ascii="Acumin Pro" w:eastAsia="Aptos" w:hAnsi="Acumin Pro" w:cstheme="minorBidi"/>
          <w:sz w:val="22"/>
          <w:szCs w:val="22"/>
        </w:rPr>
      </w:pPr>
      <w:r>
        <w:rPr>
          <w:rFonts w:ascii="Acumin Pro" w:hAnsi="Acumin Pro"/>
          <w:sz w:val="22"/>
        </w:rPr>
        <w:t xml:space="preserve">La discrimination peut être le fait d’un individu, comme un employeur, un commerçant, un enseignant ou d’un organisme ou d’un service comme un restaurant ou un organisme public. </w:t>
      </w:r>
    </w:p>
    <w:p w14:paraId="77CA5F56" w14:textId="4E857B82" w:rsidR="00423715" w:rsidRPr="00D42655" w:rsidRDefault="00423715" w:rsidP="00890707">
      <w:pPr>
        <w:ind w:left="-426"/>
        <w:rPr>
          <w:rFonts w:ascii="Acumin Pro" w:hAnsi="Acumin Pro" w:cstheme="minorHAnsi"/>
          <w:sz w:val="22"/>
          <w:szCs w:val="22"/>
        </w:rPr>
      </w:pPr>
      <w:r>
        <w:rPr>
          <w:rFonts w:ascii="Acumin Pro" w:hAnsi="Acumin Pro"/>
          <w:sz w:val="22"/>
        </w:rPr>
        <w:t xml:space="preserve">Le dépôt de plainte auprès de la </w:t>
      </w:r>
      <w:r w:rsidR="00417B1C">
        <w:rPr>
          <w:rFonts w:ascii="Acumin Pro" w:hAnsi="Acumin Pro"/>
          <w:sz w:val="22"/>
        </w:rPr>
        <w:t>c</w:t>
      </w:r>
      <w:r>
        <w:rPr>
          <w:rFonts w:ascii="Acumin Pro" w:hAnsi="Acumin Pro"/>
          <w:sz w:val="22"/>
        </w:rPr>
        <w:t xml:space="preserve">ommission des droits de l'homme est gratuit et confidentiel. Pour plus de renseignements sur les modalités du dépôt de plaintes, veuillez consulter notre site Internet </w:t>
      </w:r>
      <w:hyperlink r:id="rId34">
        <w:r>
          <w:rPr>
            <w:rStyle w:val="Hyperlink"/>
            <w:rFonts w:ascii="Acumin Pro" w:hAnsi="Acumin Pro"/>
            <w:sz w:val="22"/>
          </w:rPr>
          <w:t>tikatangata.org.nz</w:t>
        </w:r>
      </w:hyperlink>
      <w:r>
        <w:rPr>
          <w:rFonts w:ascii="Acumin Pro" w:hAnsi="Acumin Pro"/>
          <w:sz w:val="22"/>
        </w:rPr>
        <w:t>.</w:t>
      </w:r>
    </w:p>
    <w:p w14:paraId="29B859B5" w14:textId="4DA95149" w:rsidR="00423715" w:rsidRPr="00D42655" w:rsidRDefault="00423715" w:rsidP="00890707">
      <w:pPr>
        <w:ind w:left="-426"/>
        <w:rPr>
          <w:rFonts w:ascii="Acumin Pro" w:eastAsia="Aptos" w:hAnsi="Acumin Pro" w:cstheme="minorHAnsi"/>
          <w:sz w:val="22"/>
          <w:szCs w:val="22"/>
        </w:rPr>
      </w:pPr>
      <w:hyperlink r:id="rId35">
        <w:r>
          <w:rPr>
            <w:rStyle w:val="Hyperlink"/>
            <w:rFonts w:ascii="Acumin Pro" w:hAnsi="Acumin Pro"/>
            <w:sz w:val="22"/>
          </w:rPr>
          <w:t>Des informations sont disponibles</w:t>
        </w:r>
      </w:hyperlink>
      <w:r>
        <w:rPr>
          <w:rFonts w:ascii="Acumin Pro" w:hAnsi="Acumin Pro"/>
          <w:sz w:val="22"/>
        </w:rPr>
        <w:t xml:space="preserve"> en maori, samoan, tongan, chinois traditionnel, chinois simplifié et hindi, ainsi que dans des formats accessibles tels que Easy Read, fichier </w:t>
      </w:r>
      <w:r w:rsidR="00015922">
        <w:rPr>
          <w:rFonts w:ascii="Acumin Pro" w:hAnsi="Acumin Pro"/>
          <w:sz w:val="22"/>
          <w:szCs w:val="22"/>
        </w:rPr>
        <w:br/>
      </w:r>
      <w:r>
        <w:rPr>
          <w:rFonts w:ascii="Acumin Pro" w:hAnsi="Acumin Pro"/>
          <w:sz w:val="22"/>
        </w:rPr>
        <w:t>Braille, gros caractères et audio.</w:t>
      </w:r>
    </w:p>
    <w:p w14:paraId="20564B26" w14:textId="77777777" w:rsidR="00423715" w:rsidRDefault="00423715" w:rsidP="00890707">
      <w:pPr>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He whakamana tangata. </w:t>
      </w:r>
      <w:r>
        <w:rPr>
          <w:rFonts w:ascii="Acumin Pro" w:hAnsi="Acumin Pro"/>
          <w:sz w:val="22"/>
          <w:szCs w:val="22"/>
        </w:rPr>
        <w:br/>
      </w:r>
      <w:r>
        <w:rPr>
          <w:rFonts w:ascii="Acumin Pro" w:hAnsi="Acumin Pro"/>
          <w:sz w:val="22"/>
        </w:rPr>
        <w:t>Une vie digne pour tous.</w:t>
      </w:r>
    </w:p>
    <w:p w14:paraId="734BF887" w14:textId="77777777" w:rsidR="002E3079" w:rsidRPr="002E3079" w:rsidRDefault="002E3079" w:rsidP="002E3079">
      <w:pPr>
        <w:rPr>
          <w:rFonts w:ascii="Acumin Pro" w:hAnsi="Acumin Pro" w:cstheme="minorBidi"/>
          <w:sz w:val="22"/>
          <w:szCs w:val="22"/>
        </w:rPr>
      </w:pPr>
      <w:bookmarkStart w:id="4" w:name="_Hlk199169959"/>
    </w:p>
    <w:bookmarkEnd w:id="4"/>
    <w:p w14:paraId="3C5F733F" w14:textId="13C25F29" w:rsidR="00423715" w:rsidRPr="00CC70DF" w:rsidRDefault="00423715" w:rsidP="00CC70DF">
      <w:pPr>
        <w:tabs>
          <w:tab w:val="left" w:pos="6520"/>
        </w:tabs>
        <w:rPr>
          <w:rFonts w:ascii="Acumin Pro" w:hAnsi="Acumin Pro" w:cstheme="minorBidi"/>
          <w:sz w:val="22"/>
          <w:szCs w:val="22"/>
        </w:rPr>
      </w:pPr>
    </w:p>
    <w:p w14:paraId="34D51B3E" w14:textId="1CBB9A55" w:rsidR="00CC70DF" w:rsidRDefault="00CC70DF">
      <w:pPr>
        <w:keepLines w:val="0"/>
        <w:rPr>
          <w:rFonts w:ascii="Acumin Pro" w:eastAsia="Calibri" w:hAnsi="Acumin Pro" w:cstheme="minorHAnsi"/>
          <w:sz w:val="22"/>
          <w:szCs w:val="22"/>
        </w:rPr>
      </w:pPr>
      <w:r>
        <w:rPr>
          <w:rFonts w:ascii="Acumin Pro" w:eastAsia="Calibri" w:hAnsi="Acumin Pro" w:cstheme="minorHAnsi"/>
          <w:sz w:val="22"/>
          <w:szCs w:val="22"/>
        </w:rPr>
        <w:br w:type="page"/>
      </w:r>
    </w:p>
    <w:p w14:paraId="42C90C9D" w14:textId="4643574F" w:rsidR="00423715" w:rsidRDefault="00CC70DF" w:rsidP="00077A9E">
      <w:pP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224179E4">
                <wp:simplePos x="0" y="0"/>
                <wp:positionH relativeFrom="page">
                  <wp:posOffset>400050</wp:posOffset>
                </wp:positionH>
                <wp:positionV relativeFrom="paragraph">
                  <wp:posOffset>-338455</wp:posOffset>
                </wp:positionV>
                <wp:extent cx="6832600" cy="9172575"/>
                <wp:effectExtent l="38100" t="38100" r="44450" b="47625"/>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9172575"/>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1.5pt;margin-top:-26.65pt;width:538pt;height:722.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917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" adj="-11796480,,5400" path="m910171,l6832600,r,l6832600,8262404v,502674,-407497,910171,-910171,910171l,9172575r,l,910171c,407497,407497,,910171,xe" filled="f" strokecolor="#3a1335" strokeweight="6pt">
                <v:stroke joinstyle="miter"/>
                <v:formulas/>
                <v:path arrowok="t" o:connecttype="custom" o:connectlocs="910171,0;6832600,0;6832600,0;6832600,8262404;5922429,9172575;0,9172575;0,9172575;0,910171;910171,0" o:connectangles="0,0,0,0,0,0,0,0,0" textboxrect="0,0,6832600,9172575"/>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bookmarkStart w:id="5" w:name="_Hlk199169967"/>
    </w:p>
    <w:p w14:paraId="4B59ADFC" w14:textId="4116769E" w:rsidR="00423715" w:rsidRPr="00491622" w:rsidRDefault="00423715" w:rsidP="00482246">
      <w:pPr>
        <w:ind w:left="-567"/>
        <w:rPr>
          <w:rFonts w:ascii="Acumin Pro" w:eastAsia="Calibri" w:hAnsi="Acumin Pro" w:cstheme="minorHAnsi"/>
          <w:sz w:val="22"/>
          <w:szCs w:val="22"/>
        </w:rPr>
      </w:pPr>
      <w:r>
        <w:rPr>
          <w:rFonts w:ascii="Acumin Pro" w:hAnsi="Acumin Pro"/>
          <w:sz w:val="22"/>
        </w:rPr>
        <w:t xml:space="preserve">La mission du médiateur (Ombudsman) est d'aider les personnes en conflit avec les pouvoirs publics, qu'il s'agisse d'administrations centrales ou de services locaux. Cela peut concerner, par exemple, le ministère du développement social, le ministère de l'immigration, l’école de votre enfant </w:t>
      </w:r>
      <w:r w:rsidR="00417B1C">
        <w:rPr>
          <w:rFonts w:ascii="Acumin Pro" w:hAnsi="Acumin Pro"/>
          <w:sz w:val="22"/>
        </w:rPr>
        <w:t>ou</w:t>
      </w:r>
      <w:r>
        <w:rPr>
          <w:rFonts w:ascii="Acumin Pro" w:hAnsi="Acumin Pro"/>
          <w:sz w:val="22"/>
        </w:rPr>
        <w:t xml:space="preserve"> votre conseil municipal.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N'importe quel membre du public peut adresser des demandes de renseignement ou des plaintes au médiateur qui les examine gratuitement.</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Vous pouvez déposer une plainte auprès du médiateur si vous pensez qu’une administration a mal agi ou pris des décisions qui vous déplaisent, que vous estimez injustes, déraisonnables ou erronées. Votre plainte sera examinée avec soin. Le médiateur peut vous demander de déposer d'abord votre plainte auprès de l'administration visée et peut vous conseiller sur la manière de procéder. Le médiateur peut vous suggérer d'autres moyens pour exprimer vos préoccupations. Le médiateur peut également participer au traitement de votre plainte ou à l'enquête. </w:t>
      </w:r>
    </w:p>
    <w:p w14:paraId="6FF63706"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Vous pouvez également déposer une plainte auprès du médiateur si une administration refuse de vous fournir des informations. </w:t>
      </w:r>
    </w:p>
    <w:p w14:paraId="1EF9A19F" w14:textId="77777777" w:rsidR="00890707" w:rsidRDefault="00890707" w:rsidP="00482246">
      <w:pPr>
        <w:rPr>
          <w:rFonts w:ascii="Acumin Pro" w:eastAsia="Calibri" w:hAnsi="Acumin Pro" w:cstheme="minorHAnsi"/>
          <w:sz w:val="22"/>
          <w:szCs w:val="22"/>
        </w:rPr>
      </w:pPr>
    </w:p>
    <w:p w14:paraId="33384426" w14:textId="77777777" w:rsidR="00890707" w:rsidRDefault="00890707" w:rsidP="00482246">
      <w:pPr>
        <w:rPr>
          <w:rFonts w:ascii="Acumin Pro" w:eastAsia="Calibri" w:hAnsi="Acumin Pro" w:cstheme="minorHAnsi"/>
          <w:sz w:val="22"/>
          <w:szCs w:val="22"/>
        </w:rPr>
      </w:pPr>
    </w:p>
    <w:p w14:paraId="744A9156" w14:textId="77777777" w:rsidR="00077A9E" w:rsidRDefault="00077A9E" w:rsidP="00482246">
      <w:pPr>
        <w:ind w:left="-567"/>
        <w:rPr>
          <w:rFonts w:ascii="Acumin Pro" w:hAnsi="Acumin Pro"/>
          <w:sz w:val="22"/>
        </w:rPr>
      </w:pPr>
    </w:p>
    <w:p w14:paraId="56740FB7" w14:textId="77777777" w:rsidR="00077A9E" w:rsidRDefault="00077A9E" w:rsidP="00482246">
      <w:pPr>
        <w:ind w:left="-567"/>
        <w:rPr>
          <w:rFonts w:ascii="Acumin Pro" w:hAnsi="Acumin Pro"/>
          <w:sz w:val="22"/>
        </w:rPr>
      </w:pPr>
    </w:p>
    <w:p w14:paraId="338DD942" w14:textId="77777777" w:rsidR="00077A9E" w:rsidRDefault="00077A9E" w:rsidP="00482246">
      <w:pPr>
        <w:ind w:left="-567"/>
        <w:rPr>
          <w:rFonts w:ascii="Acumin Pro" w:hAnsi="Acumin Pro"/>
          <w:sz w:val="22"/>
        </w:rPr>
      </w:pPr>
    </w:p>
    <w:p w14:paraId="334D902F" w14:textId="207952BC" w:rsidR="00077A9E" w:rsidRDefault="00554E62" w:rsidP="00482246">
      <w:pPr>
        <w:ind w:left="-567"/>
        <w:rPr>
          <w:rFonts w:ascii="Acumin Pro" w:hAnsi="Acumin Pro"/>
          <w:sz w:val="22"/>
        </w:rPr>
      </w:pP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7BFF7237">
            <wp:simplePos x="0" y="0"/>
            <wp:positionH relativeFrom="column">
              <wp:posOffset>-334010</wp:posOffset>
            </wp:positionH>
            <wp:positionV relativeFrom="paragraph">
              <wp:posOffset>-7889240</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16F9A" w14:textId="77777777" w:rsidR="00077A9E" w:rsidRDefault="00077A9E" w:rsidP="00482246">
      <w:pPr>
        <w:ind w:left="-567"/>
        <w:rPr>
          <w:rFonts w:ascii="Acumin Pro" w:hAnsi="Acumin Pro"/>
          <w:sz w:val="22"/>
        </w:rPr>
      </w:pPr>
    </w:p>
    <w:p w14:paraId="40F6762E" w14:textId="77777777" w:rsidR="00077A9E" w:rsidRDefault="00077A9E" w:rsidP="00482246">
      <w:pPr>
        <w:ind w:left="-567"/>
        <w:rPr>
          <w:rFonts w:ascii="Acumin Pro" w:hAnsi="Acumin Pro"/>
          <w:sz w:val="22"/>
        </w:rPr>
      </w:pPr>
    </w:p>
    <w:p w14:paraId="53A9D0E6" w14:textId="3D8BB43A" w:rsidR="00423715" w:rsidRPr="00491622" w:rsidRDefault="00423715" w:rsidP="00482246">
      <w:pPr>
        <w:ind w:left="-567"/>
        <w:rPr>
          <w:rFonts w:ascii="Acumin Pro" w:eastAsia="Calibri" w:hAnsi="Acumin Pro" w:cstheme="minorHAnsi"/>
          <w:sz w:val="22"/>
          <w:szCs w:val="22"/>
        </w:rPr>
      </w:pPr>
      <w:r>
        <w:rPr>
          <w:rFonts w:ascii="Acumin Pro" w:hAnsi="Acumin Pro"/>
          <w:sz w:val="22"/>
        </w:rPr>
        <w:t>Le médiateur aide également les personnes qui souhaitent signaler des actes répréhensibles graves ou qui veulent connaître les protections à leur disposition si elles décident de signaler ces situations. Le médiateur peut enquêter sur les signalements ou les transmettre à l</w:t>
      </w:r>
      <w:proofErr w:type="gramStart"/>
      <w:r>
        <w:rPr>
          <w:rFonts w:ascii="Acumin Pro" w:hAnsi="Acumin Pro"/>
          <w:sz w:val="22"/>
        </w:rPr>
        <w:t>'«</w:t>
      </w:r>
      <w:proofErr w:type="gramEnd"/>
      <w:r>
        <w:rPr>
          <w:rFonts w:ascii="Acumin Pro" w:hAnsi="Acumin Pro"/>
          <w:sz w:val="22"/>
        </w:rPr>
        <w:t> autorité compétente » pour examen.</w:t>
      </w:r>
    </w:p>
    <w:p w14:paraId="250AAFCC"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Vous n’aurez pas d’ennuis en contactant le médiateur. Le médiateur a un devoir de confidentialité concernant votre démarche, excepté sauf si sa publicité est nécessaire à sa solution. </w:t>
      </w:r>
    </w:p>
    <w:p w14:paraId="2606F8BB" w14:textId="77777777" w:rsidR="00423715" w:rsidRPr="00491622" w:rsidRDefault="00423715" w:rsidP="00423715">
      <w:pPr>
        <w:ind w:left="-567"/>
        <w:rPr>
          <w:rFonts w:ascii="Acumin Pro" w:eastAsia="Calibri" w:hAnsi="Acumin Pro" w:cstheme="minorBidi"/>
          <w:sz w:val="22"/>
          <w:szCs w:val="22"/>
        </w:rPr>
      </w:pPr>
      <w:r>
        <w:rPr>
          <w:rFonts w:ascii="Acumin Pro" w:hAnsi="Acumin Pro"/>
          <w:sz w:val="22"/>
        </w:rPr>
        <w:t>Le médiateur est indépendant, ce n'est ni un conseil juridique, ni un défenseur ni un mandataire.</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Contacter le médiateur</w:t>
      </w:r>
      <w:r w:rsidRPr="00ED2618">
        <w:t xml:space="preserve"> </w:t>
      </w:r>
      <w:r w:rsidRPr="00491622">
        <w:rPr>
          <w:rFonts w:ascii="Acumin Pro" w:hAnsi="Acumin Pro"/>
          <w:b/>
          <w:sz w:val="22"/>
          <w:szCs w:val="22"/>
        </w:rPr>
        <w:br/>
      </w:r>
      <w:r w:rsidRPr="00491622">
        <w:rPr>
          <w:rFonts w:ascii="Acumin Pro" w:hAnsi="Acumin Pro"/>
          <w:sz w:val="22"/>
          <w:szCs w:val="22"/>
        </w:rPr>
        <w:t>Vous pouvez contacter le médiateur si vous avez des questions ou si vous désirez déposer une plainte.</w:t>
      </w:r>
    </w:p>
    <w:p w14:paraId="1104CBBF" w14:textId="77777777" w:rsidR="00423715" w:rsidRPr="00F6520C" w:rsidRDefault="00423715" w:rsidP="00482246">
      <w:pPr>
        <w:pStyle w:val="ListParagraph"/>
        <w:numPr>
          <w:ilvl w:val="0"/>
          <w:numId w:val="24"/>
        </w:numPr>
        <w:ind w:right="-284"/>
        <w:rPr>
          <w:rFonts w:ascii="Acumin Pro" w:eastAsia="Calibri" w:hAnsi="Acumin Pro" w:cstheme="minorHAnsi"/>
          <w:sz w:val="22"/>
          <w:szCs w:val="22"/>
        </w:rPr>
      </w:pPr>
      <w:r>
        <w:rPr>
          <w:rFonts w:ascii="Acumin Pro" w:hAnsi="Acumin Pro"/>
          <w:b/>
          <w:sz w:val="22"/>
        </w:rPr>
        <w:t>Numéro d'appel gratuit : 0800 802 602</w:t>
      </w:r>
      <w:r w:rsidRPr="00F6520C">
        <w:rPr>
          <w:rFonts w:ascii="Acumin Pro" w:hAnsi="Acumin Pro"/>
          <w:sz w:val="22"/>
          <w:szCs w:val="22"/>
        </w:rPr>
        <w:t xml:space="preserve"> </w:t>
      </w:r>
    </w:p>
    <w:p w14:paraId="00090DAC" w14:textId="11C03685" w:rsidR="00423715" w:rsidRPr="00F6520C" w:rsidRDefault="00423715" w:rsidP="00482246">
      <w:pPr>
        <w:pStyle w:val="ListParagraph"/>
        <w:numPr>
          <w:ilvl w:val="0"/>
          <w:numId w:val="24"/>
        </w:numPr>
        <w:ind w:right="-426"/>
        <w:rPr>
          <w:rFonts w:ascii="Acumin Pro" w:eastAsia="Calibri" w:hAnsi="Acumin Pro" w:cstheme="minorHAnsi"/>
          <w:sz w:val="22"/>
          <w:szCs w:val="22"/>
        </w:rPr>
      </w:pPr>
      <w:r>
        <w:rPr>
          <w:rFonts w:ascii="Acumin Pro" w:hAnsi="Acumin Pro"/>
          <w:b/>
          <w:sz w:val="22"/>
        </w:rPr>
        <w:t>En ligne via le formulaire de réclamation sur le site Internet du médiateur</w:t>
      </w:r>
      <w:r w:rsidRPr="00F6520C">
        <w:rPr>
          <w:rFonts w:ascii="Acumin Pro" w:hAnsi="Acumin Pro"/>
          <w:sz w:val="22"/>
          <w:szCs w:val="22"/>
          <w:u w:val="single"/>
        </w:rPr>
        <w:br/>
      </w:r>
      <w:r w:rsidRPr="00F6520C">
        <w:rPr>
          <w:rFonts w:ascii="Acumin Pro" w:hAnsi="Acumin Pro"/>
          <w:sz w:val="22"/>
          <w:szCs w:val="22"/>
        </w:rPr>
        <w:t xml:space="preserve">Consultez : </w:t>
      </w:r>
      <w:hyperlink r:id="rId37" w:history="1">
        <w:r>
          <w:rPr>
            <w:rStyle w:val="Hyperlink"/>
            <w:rFonts w:ascii="Acumin Pro" w:hAnsi="Acumin Pro"/>
            <w:sz w:val="22"/>
          </w:rPr>
          <w:t>https://www.ombudsman.parliament.nz/</w:t>
        </w:r>
      </w:hyperlink>
      <w:r w:rsidRPr="00F6520C">
        <w:rPr>
          <w:rFonts w:ascii="Acumin Pro" w:hAnsi="Acumin Pro"/>
          <w:sz w:val="22"/>
          <w:szCs w:val="22"/>
        </w:rPr>
        <w:t xml:space="preserve"> et cliquez sur « Get help (for the public) » (Demander de l'aide (pour le public)</w:t>
      </w:r>
    </w:p>
    <w:p w14:paraId="765E2432" w14:textId="59038DBF" w:rsidR="00423715" w:rsidRPr="00F6520C" w:rsidRDefault="00423715" w:rsidP="00423715">
      <w:pPr>
        <w:pStyle w:val="ListParagraph"/>
        <w:numPr>
          <w:ilvl w:val="0"/>
          <w:numId w:val="24"/>
        </w:numPr>
        <w:rPr>
          <w:rFonts w:ascii="Acumin Pro" w:eastAsia="Calibri" w:hAnsi="Acumin Pro" w:cstheme="minorHAnsi"/>
          <w:sz w:val="22"/>
          <w:szCs w:val="22"/>
          <w:u w:val="single"/>
        </w:rPr>
      </w:pPr>
      <w:proofErr w:type="gramStart"/>
      <w:r>
        <w:rPr>
          <w:rFonts w:ascii="Acumin Pro" w:hAnsi="Acumin Pro"/>
          <w:b/>
          <w:sz w:val="22"/>
        </w:rPr>
        <w:t>E-mail</w:t>
      </w:r>
      <w:proofErr w:type="gramEnd"/>
      <w:r>
        <w:rPr>
          <w:rFonts w:ascii="Acumin Pro" w:hAnsi="Acumin Pro"/>
          <w:b/>
          <w:sz w:val="22"/>
        </w:rPr>
        <w:t> : </w:t>
      </w:r>
      <w:r w:rsidR="00482246">
        <w:rPr>
          <w:rFonts w:ascii="Acumin Pro" w:hAnsi="Acumin Pro"/>
          <w:b/>
          <w:sz w:val="22"/>
        </w:rPr>
        <w:br/>
      </w:r>
      <w:hyperlink r:id="rId38" w:history="1">
        <w:r w:rsidR="00482246" w:rsidRPr="00F30DDC">
          <w:rPr>
            <w:rStyle w:val="Hyperlink"/>
            <w:rFonts w:ascii="Acumin Pro" w:hAnsi="Acumin Pro"/>
            <w:b/>
            <w:sz w:val="22"/>
          </w:rPr>
          <w:t>info@ombudsman.parliament.nz</w:t>
        </w:r>
      </w:hyperlink>
    </w:p>
    <w:p w14:paraId="149F9285"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Pr>
          <w:rFonts w:ascii="Acumin Pro" w:hAnsi="Acumin Pro"/>
          <w:b/>
          <w:sz w:val="22"/>
        </w:rPr>
        <w:t>Adresse postale : The Ombudsman, PO Box 10152, Wellington 6143</w:t>
      </w:r>
    </w:p>
    <w:p w14:paraId="3EEABACB" w14:textId="20F3FCAF" w:rsidR="00423715" w:rsidRDefault="00423715" w:rsidP="00482246">
      <w:pPr>
        <w:spacing w:line="276" w:lineRule="auto"/>
        <w:ind w:left="-567"/>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szCs w:val="22"/>
        </w:rPr>
        <w:br/>
      </w:r>
      <w:r>
        <w:rPr>
          <w:rFonts w:ascii="Acumin Pro" w:hAnsi="Acumin Pro"/>
          <w:sz w:val="22"/>
        </w:rPr>
        <w:t xml:space="preserve">Diverses ressources et publications utiles, dans différentes langues et différents formats, sont disponibles sur le </w:t>
      </w:r>
      <w:hyperlink r:id="rId39" w:history="1">
        <w:r>
          <w:rPr>
            <w:rStyle w:val="Hyperlink"/>
            <w:rFonts w:ascii="Acumin Pro" w:hAnsi="Acumin Pro"/>
            <w:sz w:val="22"/>
          </w:rPr>
          <w:t>site Internet du médiateur</w:t>
        </w:r>
      </w:hyperlink>
      <w:r>
        <w:rPr>
          <w:rFonts w:ascii="Acumin Pro" w:hAnsi="Acumin Pro"/>
          <w:sz w:val="22"/>
        </w:rPr>
        <w:t>.</w:t>
      </w:r>
      <w:bookmarkEnd w:id="3"/>
      <w:bookmarkEnd w:id="5"/>
    </w:p>
    <w:p w14:paraId="19DB8B97" w14:textId="42E30081" w:rsidR="00E34170" w:rsidRPr="00482246" w:rsidRDefault="00E34170" w:rsidP="00423715">
      <w:pPr>
        <w:rPr>
          <w:sz w:val="2"/>
          <w:szCs w:val="2"/>
        </w:rPr>
      </w:pPr>
    </w:p>
    <w:sectPr w:rsidR="00E34170" w:rsidRPr="00482246"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4DF4" w14:textId="77777777" w:rsidR="00F42D3D" w:rsidRDefault="00F42D3D">
      <w:r>
        <w:separator/>
      </w:r>
    </w:p>
    <w:p w14:paraId="417D553E" w14:textId="77777777" w:rsidR="00F42D3D" w:rsidRDefault="00F42D3D"/>
    <w:p w14:paraId="003C0FEE" w14:textId="77777777" w:rsidR="00F42D3D" w:rsidRDefault="00F42D3D"/>
  </w:endnote>
  <w:endnote w:type="continuationSeparator" w:id="0">
    <w:p w14:paraId="6315BE7A" w14:textId="77777777" w:rsidR="00F42D3D" w:rsidRDefault="00F42D3D">
      <w:r>
        <w:continuationSeparator/>
      </w:r>
    </w:p>
    <w:p w14:paraId="54393964" w14:textId="77777777" w:rsidR="00F42D3D" w:rsidRDefault="00F42D3D"/>
    <w:p w14:paraId="325BA0D3" w14:textId="77777777" w:rsidR="00F42D3D" w:rsidRDefault="00F42D3D"/>
  </w:endnote>
  <w:endnote w:type="continuationNotice" w:id="1">
    <w:p w14:paraId="1F061B0A" w14:textId="77777777" w:rsidR="00F42D3D" w:rsidRDefault="00F42D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023D79D6" w:rsidR="00423715" w:rsidRPr="00482246" w:rsidRDefault="00423715" w:rsidP="00482246">
    <w:pPr>
      <w:pStyle w:val="Footer"/>
      <w:jc w:val="center"/>
      <w:rPr>
        <w:rFonts w:ascii="Acumin Pro" w:hAnsi="Acumin Pro"/>
        <w:i w:val="0"/>
        <w:iCs/>
        <w:sz w:val="22"/>
        <w:szCs w:val="22"/>
      </w:rPr>
    </w:pPr>
    <w:r>
      <w:rPr>
        <w:rFonts w:ascii="Acumin Pro" w:hAnsi="Acumin Pro"/>
        <w:b/>
        <w:i w:val="0"/>
        <w:sz w:val="22"/>
      </w:rPr>
      <w:t>Informations sur le service public de</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Nouvelle-Zélande</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6D4D8B48"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Information sur le service public de Nouvelle-Zélande</w:t>
    </w:r>
    <w:r w:rsidRPr="004C1D82">
      <w:rPr>
        <w:rFonts w:ascii="Acumin Pro" w:hAnsi="Acumin Pro"/>
        <w:i w:val="0"/>
        <w:iCs/>
        <w:sz w:val="22"/>
        <w:szCs w:val="22"/>
      </w:rPr>
      <w:t xml:space="preserve"> </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Information sur le service public de Nouvelle-Zélande</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Information sur le service public de Nouvelle-Zélande</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66A7F" w14:textId="77777777" w:rsidR="00F42D3D" w:rsidRDefault="00F42D3D" w:rsidP="00FB1990">
      <w:pPr>
        <w:pStyle w:val="Spacer"/>
      </w:pPr>
      <w:r>
        <w:separator/>
      </w:r>
    </w:p>
    <w:p w14:paraId="27905C09" w14:textId="77777777" w:rsidR="00F42D3D" w:rsidRDefault="00F42D3D" w:rsidP="00FB1990">
      <w:pPr>
        <w:pStyle w:val="Spacer"/>
      </w:pPr>
    </w:p>
  </w:footnote>
  <w:footnote w:type="continuationSeparator" w:id="0">
    <w:p w14:paraId="5060C5C0" w14:textId="77777777" w:rsidR="00F42D3D" w:rsidRDefault="00F42D3D">
      <w:r>
        <w:continuationSeparator/>
      </w:r>
    </w:p>
    <w:p w14:paraId="2B8F49FE" w14:textId="77777777" w:rsidR="00F42D3D" w:rsidRDefault="00F42D3D"/>
    <w:p w14:paraId="331656B0" w14:textId="77777777" w:rsidR="00F42D3D" w:rsidRDefault="00F42D3D"/>
  </w:footnote>
  <w:footnote w:type="continuationNotice" w:id="1">
    <w:p w14:paraId="0C725B4A" w14:textId="77777777" w:rsidR="00F42D3D" w:rsidRDefault="00F42D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1474"/>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A9E"/>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3AE"/>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2DF9"/>
    <w:rsid w:val="00133696"/>
    <w:rsid w:val="0013703F"/>
    <w:rsid w:val="00140ED2"/>
    <w:rsid w:val="00141471"/>
    <w:rsid w:val="00143E7C"/>
    <w:rsid w:val="0014415C"/>
    <w:rsid w:val="0014565E"/>
    <w:rsid w:val="00145E3D"/>
    <w:rsid w:val="001466A2"/>
    <w:rsid w:val="00147301"/>
    <w:rsid w:val="00152A78"/>
    <w:rsid w:val="001536C9"/>
    <w:rsid w:val="001536E6"/>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17B1C"/>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2246"/>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3D5B"/>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4E62"/>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114C"/>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C7C"/>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1F2A"/>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3139"/>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21A3"/>
    <w:rsid w:val="00A94161"/>
    <w:rsid w:val="00A94BD6"/>
    <w:rsid w:val="00A97BFB"/>
    <w:rsid w:val="00AA6882"/>
    <w:rsid w:val="00AB0BBC"/>
    <w:rsid w:val="00AB13F6"/>
    <w:rsid w:val="00AB15F3"/>
    <w:rsid w:val="00AB3A92"/>
    <w:rsid w:val="00AB43B5"/>
    <w:rsid w:val="00AB43FE"/>
    <w:rsid w:val="00AB478B"/>
    <w:rsid w:val="00AB47AC"/>
    <w:rsid w:val="00AB4AD9"/>
    <w:rsid w:val="00AB5B80"/>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D6E54"/>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42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C70DF"/>
    <w:rsid w:val="00CD1562"/>
    <w:rsid w:val="00CD3560"/>
    <w:rsid w:val="00CD37F7"/>
    <w:rsid w:val="00CD502A"/>
    <w:rsid w:val="00CD63F5"/>
    <w:rsid w:val="00CE45DD"/>
    <w:rsid w:val="00CE4CD1"/>
    <w:rsid w:val="00CF00C7"/>
    <w:rsid w:val="00CF114C"/>
    <w:rsid w:val="00CF12CF"/>
    <w:rsid w:val="00CF2B6E"/>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4F65"/>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2D3D"/>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74772"/>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fr-FR"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fr-F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fr-F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fr-F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fr-F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fr-F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fr-F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fr-F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fr-F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fr-F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fr-FR" w:eastAsia="en-US"/>
    </w:rPr>
  </w:style>
  <w:style w:type="character" w:customStyle="1" w:styleId="FooterChar">
    <w:name w:val="Footer Char"/>
    <w:basedOn w:val="DefaultParagraphFont"/>
    <w:link w:val="Footer"/>
    <w:uiPriority w:val="99"/>
    <w:rsid w:val="00065F18"/>
    <w:rPr>
      <w:rFonts w:eastAsiaTheme="minorHAnsi"/>
      <w:i/>
      <w:sz w:val="20"/>
      <w:lang w:val="fr-F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fr-F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fr-FR"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fr-FR"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resources?f%5B0%5D=category%3A2383"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37" Type="http://schemas.openxmlformats.org/officeDocument/2006/relationships/hyperlink" Target="https://www.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mailto:info@ombudsman.parliamen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ZHNFQZVQ3Y4V-1257920297-5302</_dlc_DocId>
    <_dlc_DocIdUrl xmlns="f241499f-97c4-44af-badf-d067f056cf3c">
      <Url>https://azurediagovt.sharepoint.com/sites/ECMS-CMT-ETC-PLM-PLI-FI/_layouts/15/DocIdRedir.aspx?ID=ZHNFQZVQ3Y4V-1257920297-5302</Url>
      <Description>ZHNFQZVQ3Y4V-1257920297-5302</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2.xml><?xml version="1.0" encoding="utf-8"?>
<ds:datastoreItem xmlns:ds="http://schemas.openxmlformats.org/officeDocument/2006/customXml" ds:itemID="{E74FD07D-5F75-4647-A6A4-6EB05FEC2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05A72AAC-B716-4659-AFAE-C6C4361A4C2F}">
  <ds:schemaRefs>
    <ds:schemaRef ds:uri="http://schemas.microsoft.com/sharepoint/event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16502</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16</cp:revision>
  <cp:lastPrinted>2025-07-02T22:44:00Z</cp:lastPrinted>
  <dcterms:created xsi:type="dcterms:W3CDTF">2025-06-28T14:22:00Z</dcterms:created>
  <dcterms:modified xsi:type="dcterms:W3CDTF">2025-07-24T00:50:00Z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3fcdaf79-11b4-43d9-9aa6-e3499c0a9814</vt:lpwstr>
  </property>
</Properties>
</file>