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b/>
          <w:bCs/>
          <w:color w:val="402956" w:themeColor="accent5" w:themeShade="BF"/>
          <w:sz w:val="48"/>
          <w:szCs w:val="48"/>
        </w:rPr>
      </w:pPr>
      <w:r w:rsidRPr="00354FF9">
        <w:rPr>
          <w:rFonts w:ascii="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0A06A2AC" w:rsidR="00423715" w:rsidRPr="00354FF9" w:rsidRDefault="00423715" w:rsidP="00AF2927">
      <w:pPr>
        <w:ind w:left="-567" w:right="-568"/>
        <w:rPr>
          <w:rFonts w:ascii="Acumin Pro" w:hAnsi="Acumin Pro"/>
          <w:color w:val="2B1B3A" w:themeColor="accent5" w:themeShade="80"/>
          <w:sz w:val="48"/>
          <w:szCs w:val="48"/>
        </w:rPr>
      </w:pPr>
      <w:r>
        <w:rPr>
          <w:rFonts w:ascii="Acumin Pro" w:hAnsi="Acumin Pro"/>
          <w:b/>
          <w:color w:val="2B1B3A" w:themeColor="accent5" w:themeShade="80"/>
          <w:sz w:val="48"/>
        </w:rPr>
        <w:t xml:space="preserve">Yeni Zelanda Devlet kurumları hakkında bilgi </w:t>
      </w:r>
    </w:p>
    <w:p w14:paraId="449889E6" w14:textId="75AE6F4E" w:rsidR="00423715" w:rsidRDefault="00423715" w:rsidP="00423715">
      <w:pPr>
        <w:spacing w:line="276" w:lineRule="auto"/>
        <w:ind w:left="-567"/>
        <w:rPr>
          <w:rFonts w:ascii="Acumin Pro" w:hAnsi="Acumin Pro" w:cs="Arial"/>
          <w:b/>
          <w:bCs/>
          <w:color w:val="00908B"/>
          <w:kern w:val="32"/>
          <w:sz w:val="32"/>
          <w:szCs w:val="32"/>
        </w:rPr>
      </w:pPr>
      <w:r>
        <w:rPr>
          <w:rFonts w:ascii="Acumin Pro" w:hAnsi="Acumin Pro"/>
          <w:sz w:val="22"/>
        </w:rPr>
        <w:t xml:space="preserve">Aşağıda yer alan Devlet kurumları, Yeni Zelanda'da ulusal güvenlikten ve haklarınızın korunmasından sorumludur. Bu bilgiler onların yaptıkları işler ve size nasıl destek olabilecekleri hakkındadır. Yabancı müdahale vakalarını Yeni Zelanda Polisi ve NZSIS'e ihbar edebilirsiniz. İhbarda bulunmak hakkında daha fazla bilgi edinmek için bkz: </w:t>
      </w:r>
      <w:hyperlink r:id="rId13">
        <w:r>
          <w:rPr>
            <w:rStyle w:val="Hyperlink"/>
            <w:rFonts w:ascii="Acumin Pro" w:hAnsi="Acumin Pro"/>
            <w:sz w:val="22"/>
          </w:rPr>
          <w:t>Yabancı müdahale nasıl ihbar edilebilir</w:t>
        </w:r>
      </w:hyperlink>
      <w:r>
        <w:rPr>
          <w:rFonts w:ascii="Acumin Pro" w:hAnsi="Acumin Pro"/>
          <w:sz w:val="22"/>
        </w:rPr>
        <w:t>. </w:t>
      </w:r>
    </w:p>
    <w:p w14:paraId="2AEF0370" w14:textId="3FF104D0" w:rsidR="00423715" w:rsidRDefault="00890707"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2777A826">
                <wp:simplePos x="0" y="0"/>
                <wp:positionH relativeFrom="margin">
                  <wp:posOffset>-572184</wp:posOffset>
                </wp:positionH>
                <wp:positionV relativeFrom="paragraph">
                  <wp:posOffset>83478</wp:posOffset>
                </wp:positionV>
                <wp:extent cx="6848928" cy="5756031"/>
                <wp:effectExtent l="38100" t="38100" r="34925" b="35560"/>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5756031"/>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05pt;margin-top:6.55pt;width:539.3pt;height:453.2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928,57560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" adj="-11796480,,5400" path="m411038,l6811456,v20695,,37472,16777,37472,37472l6848928,5344993v,227010,-184028,411038,-411038,411038l37472,5756031c16777,5756031,,5739254,,5718559l,411038c,184028,184028,,411038,xe" filled="f" strokecolor="#3a1335" strokeweight="6pt">
                <v:stroke joinstyle="miter"/>
                <v:formulas/>
                <v:path arrowok="t" o:connecttype="custom" o:connectlocs="411038,0;6811456,0;6848928,37472;6848928,5344993;6437890,5756031;37472,5756031;0,5718559;0,411038;411038,0" o:connectangles="0,0,0,0,0,0,0,0,0" textboxrect="0,0,6848928,5756031"/>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0E96CEFB">
            <wp:simplePos x="0" y="0"/>
            <wp:positionH relativeFrom="column">
              <wp:posOffset>-494030</wp:posOffset>
            </wp:positionH>
            <wp:positionV relativeFrom="paragraph">
              <wp:posOffset>328295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77777777" w:rsidR="00423715" w:rsidRDefault="00423715" w:rsidP="00423715">
      <w:pPr>
        <w:ind w:left="-567"/>
        <w:rPr>
          <w:rFonts w:ascii="Acumin Pro" w:eastAsia="Calibri" w:hAnsi="Acumin Pro" w:cstheme="minorHAnsi"/>
          <w:sz w:val="22"/>
          <w:szCs w:val="22"/>
        </w:rPr>
      </w:pPr>
    </w:p>
    <w:p w14:paraId="41DA0CD6" w14:textId="77777777" w:rsidR="00423715" w:rsidRDefault="00423715" w:rsidP="00423715">
      <w:pPr>
        <w:ind w:left="-567"/>
        <w:rPr>
          <w:rFonts w:ascii="Acumin Pro" w:eastAsia="Calibri" w:hAnsi="Acumin Pro" w:cstheme="minorHAnsi"/>
          <w:sz w:val="22"/>
          <w:szCs w:val="22"/>
        </w:rPr>
      </w:pPr>
    </w:p>
    <w:p w14:paraId="652B5045" w14:textId="77777777" w:rsidR="00423715" w:rsidRDefault="00423715" w:rsidP="00423715">
      <w:pPr>
        <w:ind w:left="-567"/>
        <w:rPr>
          <w:rFonts w:ascii="Acumin Pro" w:eastAsia="Calibri" w:hAnsi="Acumin Pro" w:cstheme="minorHAnsi"/>
          <w:sz w:val="22"/>
          <w:szCs w:val="22"/>
        </w:rPr>
      </w:pPr>
    </w:p>
    <w:p w14:paraId="49B361CC"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Yeni Zelanda Polisi, insanların evlerinde, yollarda ve topluluklarında güvende olmalarını ve kendilerini güvende hissetmelerini sağlayan hizmetler sunar. Polis, suç ve zararı önlemek için 24 saat aktif olarak faaliyet göstermektedir. Yaklaşık 15.000 personelimizle kentsel ve kırsal karakollarda ve büyük polis merkezlerinde çalışmaktayız.</w:t>
      </w:r>
    </w:p>
    <w:p w14:paraId="01BBBD2F" w14:textId="5CC60516"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Karada, denizde ve havada faaliyet gösteriyoruz ve yılda 1</w:t>
      </w:r>
      <w:r w:rsidR="001D3D0D">
        <w:rPr>
          <w:rFonts w:ascii="Acumin Pro" w:hAnsi="Acumin Pro"/>
          <w:sz w:val="22"/>
        </w:rPr>
        <w:t>.</w:t>
      </w:r>
      <w:r>
        <w:rPr>
          <w:rFonts w:ascii="Acumin Pro" w:hAnsi="Acumin Pro"/>
          <w:sz w:val="22"/>
        </w:rPr>
        <w:t>3 milyondan fazla olaya müdahale ediyoruz; 925</w:t>
      </w:r>
      <w:r w:rsidR="001D3D0D">
        <w:rPr>
          <w:rFonts w:ascii="Acumin Pro" w:hAnsi="Acumin Pro"/>
          <w:sz w:val="22"/>
        </w:rPr>
        <w:t>.</w:t>
      </w:r>
      <w:r>
        <w:rPr>
          <w:rFonts w:ascii="Acumin Pro" w:hAnsi="Acumin Pro"/>
          <w:sz w:val="22"/>
        </w:rPr>
        <w:t>000'den fazla 111 çağrısına ve 743</w:t>
      </w:r>
      <w:r w:rsidR="001D3D0D">
        <w:rPr>
          <w:rFonts w:ascii="Acumin Pro" w:hAnsi="Acumin Pro"/>
          <w:sz w:val="22"/>
        </w:rPr>
        <w:t>.</w:t>
      </w:r>
      <w:r>
        <w:rPr>
          <w:rFonts w:ascii="Acumin Pro" w:hAnsi="Acumin Pro"/>
          <w:sz w:val="22"/>
        </w:rPr>
        <w:t>000'den fazla acil olmayan çağrıya yanıt veriyoruz.</w:t>
      </w:r>
    </w:p>
    <w:p w14:paraId="1A556109"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Polis personeli Yeni Zelanda'daki herkese yardım etmek ve onları korumak için eğitilmiştir. Polislik hizmetleri insan haklarına saygılı, bağımsız ve tarafsız bir şekilde sağlanır.</w:t>
      </w:r>
    </w:p>
    <w:p w14:paraId="58784926"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Polisin temel rolleri arasında suç ve trafik kazalarını önlemek, soruşturmak, çözmek ve azaltmak yer alır. Polisin görevleri şunlardır:</w:t>
      </w:r>
    </w:p>
    <w:p w14:paraId="199B0E19" w14:textId="77777777" w:rsidR="00423715" w:rsidRDefault="00423715" w:rsidP="003B716B">
      <w:pPr>
        <w:pStyle w:val="ListParagraph"/>
        <w:numPr>
          <w:ilvl w:val="0"/>
          <w:numId w:val="22"/>
        </w:numPr>
        <w:ind w:left="-567" w:right="-1"/>
        <w:rPr>
          <w:rFonts w:ascii="Acumin Pro" w:eastAsia="Calibri" w:hAnsi="Acumin Pro" w:cstheme="minorHAnsi"/>
          <w:sz w:val="22"/>
          <w:szCs w:val="22"/>
        </w:rPr>
        <w:sectPr w:rsidR="0042371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Barışın korunması</w:t>
      </w:r>
    </w:p>
    <w:p w14:paraId="6A9F5F24"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Kamu güvenliğinin sağlanması</w:t>
      </w:r>
    </w:p>
    <w:p w14:paraId="7F11D000"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Yasalara uyulması</w:t>
      </w:r>
    </w:p>
    <w:p w14:paraId="69658DB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Suç önleme</w:t>
      </w:r>
    </w:p>
    <w:p w14:paraId="77FB10F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Topluluk desteği ve güvencesi</w:t>
      </w:r>
    </w:p>
    <w:p w14:paraId="75C7430C"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Ulusal güvenlik</w:t>
      </w:r>
    </w:p>
    <w:p w14:paraId="786429D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Yeni Zelanda dışında polislik faaliyetlerine katılım</w:t>
      </w:r>
    </w:p>
    <w:p w14:paraId="35A69232" w14:textId="77777777" w:rsidR="00423715" w:rsidRPr="00016CE4" w:rsidRDefault="00423715" w:rsidP="003B716B">
      <w:pPr>
        <w:pStyle w:val="ListParagraph"/>
        <w:numPr>
          <w:ilvl w:val="0"/>
          <w:numId w:val="22"/>
        </w:numPr>
        <w:tabs>
          <w:tab w:val="left" w:pos="0"/>
        </w:tabs>
        <w:ind w:right="-1"/>
        <w:rPr>
          <w:rFonts w:ascii="Acumin Pro" w:eastAsia="Calibri" w:hAnsi="Acumin Pro" w:cstheme="minorBidi"/>
          <w:sz w:val="22"/>
          <w:szCs w:val="22"/>
        </w:rPr>
      </w:pPr>
      <w:r>
        <w:rPr>
          <w:rFonts w:ascii="Acumin Pro" w:hAnsi="Acumin Pro"/>
          <w:sz w:val="22"/>
        </w:rPr>
        <w:t>Acil durum yönetimi.</w:t>
      </w:r>
    </w:p>
    <w:p w14:paraId="4E2EE385" w14:textId="338AC738" w:rsidR="00423715" w:rsidRDefault="00AF2927" w:rsidP="00AF2927">
      <w:pPr>
        <w:keepLines w:val="0"/>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r>
        <w:rPr>
          <w:rFonts w:ascii="Acumin Pro" w:eastAsia="Calibri" w:hAnsi="Acumin Pro" w:cstheme="minorHAnsi"/>
          <w:b/>
          <w:bCs/>
          <w:sz w:val="22"/>
          <w:szCs w:val="22"/>
        </w:rPr>
        <w:br w:type="page"/>
      </w:r>
    </w:p>
    <w:p w14:paraId="6389BD1A" w14:textId="59C8AD53" w:rsidR="00423715" w:rsidRDefault="00AF2927" w:rsidP="00AF2927">
      <w:pPr>
        <w:ind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2F0B6739">
                <wp:simplePos x="0" y="0"/>
                <wp:positionH relativeFrom="margin">
                  <wp:posOffset>-571625</wp:posOffset>
                </wp:positionH>
                <wp:positionV relativeFrom="paragraph">
                  <wp:posOffset>-122353</wp:posOffset>
                </wp:positionV>
                <wp:extent cx="6883400" cy="4100485"/>
                <wp:effectExtent l="38100" t="38100" r="31750" b="33655"/>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4100485"/>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margin-left:-45pt;margin-top:-9.65pt;width:542pt;height:322.85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4100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" adj="-11796480,,5400" path="m292816,l6856706,v14743,,26694,11951,26694,26694l6883400,3807669v,161718,-131098,292816,-292816,292816l26694,4100485c11951,4100485,,4088534,,4073791l,292816c,131098,131098,,292816,xe" filled="f" strokecolor="#3a1335" strokeweight="6pt">
                <v:stroke joinstyle="miter"/>
                <v:formulas/>
                <v:path arrowok="t" o:connecttype="custom" o:connectlocs="292816,0;6856706,0;6883400,26694;6883400,3807669;6590584,4100485;26694,4100485;0,4073791;0,292816;292816,0" o:connectangles="0,0,0,0,0,0,0,0,0" textboxrect="0,0,6883400,4100485"/>
                <v:textbo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Pr>
          <w:noProof/>
        </w:rPr>
        <w:drawing>
          <wp:anchor distT="0" distB="0" distL="114300" distR="114300" simplePos="0" relativeHeight="251658253" behindDoc="1" locked="0" layoutInCell="1" allowOverlap="1" wp14:anchorId="325AB658" wp14:editId="118AA2DE">
            <wp:simplePos x="0" y="0"/>
            <wp:positionH relativeFrom="column">
              <wp:posOffset>-493395</wp:posOffset>
            </wp:positionH>
            <wp:positionV relativeFrom="paragraph">
              <wp:posOffset>-14507</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8886E" w14:textId="5855AE96" w:rsidR="00423715" w:rsidRDefault="00423715" w:rsidP="003B716B">
      <w:pPr>
        <w:ind w:left="-567" w:right="-1"/>
        <w:rPr>
          <w:rFonts w:ascii="Acumin Pro" w:eastAsia="Calibri" w:hAnsi="Acumin Pro" w:cstheme="minorHAnsi"/>
          <w:b/>
          <w:bCs/>
          <w:sz w:val="22"/>
          <w:szCs w:val="22"/>
        </w:rPr>
      </w:pPr>
    </w:p>
    <w:p w14:paraId="79D33C27" w14:textId="13126DC0" w:rsidR="00890707" w:rsidRDefault="00890707" w:rsidP="00AF2927">
      <w:pPr>
        <w:ind w:right="-1"/>
        <w:rPr>
          <w:rFonts w:ascii="Acumin Pro" w:eastAsia="Calibri" w:hAnsi="Acumin Pro" w:cstheme="minorHAnsi"/>
          <w:b/>
          <w:bCs/>
          <w:sz w:val="22"/>
          <w:szCs w:val="22"/>
        </w:rPr>
      </w:pPr>
    </w:p>
    <w:p w14:paraId="4C06B2B6" w14:textId="7888E6DE" w:rsidR="00423715" w:rsidRPr="00491622" w:rsidRDefault="00423715" w:rsidP="006B32C0">
      <w:pPr>
        <w:ind w:left="-426" w:right="-1"/>
        <w:rPr>
          <w:rFonts w:ascii="Acumin Pro" w:eastAsia="Calibri" w:hAnsi="Acumin Pro" w:cstheme="minorHAnsi"/>
          <w:b/>
          <w:bCs/>
          <w:sz w:val="22"/>
          <w:szCs w:val="22"/>
        </w:rPr>
      </w:pPr>
      <w:r>
        <w:rPr>
          <w:rFonts w:ascii="Acumin Pro" w:hAnsi="Acumin Pro"/>
          <w:b/>
          <w:sz w:val="22"/>
        </w:rPr>
        <w:t xml:space="preserve">Etnik İrtibat Görevlileri </w:t>
      </w:r>
      <w:r w:rsidRPr="00491622">
        <w:rPr>
          <w:rFonts w:ascii="Acumin Pro" w:hAnsi="Acumin Pro"/>
          <w:b/>
          <w:bCs/>
          <w:sz w:val="22"/>
          <w:szCs w:val="22"/>
        </w:rPr>
        <w:br/>
      </w:r>
      <w:r w:rsidRPr="00491622">
        <w:rPr>
          <w:rFonts w:ascii="Acumin Pro" w:hAnsi="Acumin Pro"/>
          <w:sz w:val="22"/>
          <w:szCs w:val="22"/>
        </w:rPr>
        <w:t xml:space="preserve">Polis, ülke çapında Etnik İrtibat Görevlileri bulundurarak çeşitliliğe değer verir ve etnik toplulukları destekler. Topluluklarla birlikte çalışarak polis hizmetlerini anlamalarına ve bu hizmetlere erişmelerine yardımcı olurlar, toplumun endişeleri hakkında polise bilgi sağlarlar ve etnik toplulukları ilgilendiren suçları soruşturmak ve önlemek için polisle birlikte çalışırlar. </w:t>
      </w:r>
    </w:p>
    <w:p w14:paraId="3802C649" w14:textId="77777777" w:rsidR="00423715" w:rsidRPr="00491622" w:rsidRDefault="00423715" w:rsidP="006B32C0">
      <w:pPr>
        <w:ind w:left="-426" w:right="-143"/>
        <w:rPr>
          <w:rFonts w:ascii="Acumin Pro" w:eastAsia="Calibri" w:hAnsi="Acumin Pro" w:cstheme="minorHAnsi"/>
          <w:sz w:val="22"/>
          <w:szCs w:val="22"/>
        </w:rPr>
      </w:pPr>
      <w:r>
        <w:rPr>
          <w:rFonts w:ascii="Acumin Pro" w:hAnsi="Acumin Pro"/>
          <w:sz w:val="22"/>
        </w:rPr>
        <w:t>Personelimiz her zaman endişelerinizi dinlemeye ve güvenliği artırmak için sizinle birlikte çalışmaya isteklidir.</w:t>
      </w:r>
    </w:p>
    <w:p w14:paraId="5D7DB403" w14:textId="77777777" w:rsidR="00423715" w:rsidRPr="00491622" w:rsidRDefault="00423715" w:rsidP="006B32C0">
      <w:pPr>
        <w:ind w:left="-426" w:right="-1"/>
        <w:rPr>
          <w:rFonts w:ascii="Acumin Pro" w:eastAsia="Calibri" w:hAnsi="Acumin Pro" w:cstheme="minorHAnsi"/>
          <w:sz w:val="22"/>
          <w:szCs w:val="22"/>
        </w:rPr>
      </w:pPr>
      <w:r>
        <w:rPr>
          <w:rFonts w:ascii="Acumin Pro" w:hAnsi="Acumin Pro"/>
          <w:sz w:val="22"/>
        </w:rPr>
        <w:t>Size şahsen veya çevrimiçi olarak kendiniz veya başkaları için endişelenmenize neden olacak tehditler yapılırsa, lütfen Polise başvurun. Bu, ırk, inanç, cinsel yönelim, cinsiyet kimliği, engellilik veya yaşa dayalı düşmanlıkla motive edilmiş olabilecek herhangi bir olayı içerir.</w:t>
      </w:r>
    </w:p>
    <w:p w14:paraId="3A6FBA98" w14:textId="77777777" w:rsidR="00423715" w:rsidRDefault="00423715" w:rsidP="006B32C0">
      <w:pPr>
        <w:ind w:left="-426" w:right="-1"/>
        <w:rPr>
          <w:rFonts w:ascii="Acumin Pro" w:eastAsia="Calibri" w:hAnsi="Acumin Pro" w:cstheme="minorBidi"/>
          <w:sz w:val="22"/>
          <w:szCs w:val="22"/>
        </w:rPr>
      </w:pPr>
      <w:r>
        <w:rPr>
          <w:rFonts w:ascii="Acumin Pro" w:hAnsi="Acumin Pro"/>
          <w:sz w:val="22"/>
        </w:rPr>
        <w:t>Tüm Yeni Zelandalılar çevrelerinde olup bitenlerin farkında olmalı ve şüpheli veya sıra dışı davranışları yetkililere bildirmelidir.</w:t>
      </w:r>
    </w:p>
    <w:p w14:paraId="6B563B73" w14:textId="6FB5F0EE" w:rsidR="00423715" w:rsidRDefault="00890707" w:rsidP="003B716B">
      <w:pPr>
        <w:ind w:left="-567" w:right="-1"/>
        <w:rPr>
          <w:rFonts w:ascii="Acumin Pro" w:eastAsia="Calibri" w:hAnsi="Acumin Pro" w:cstheme="minorBidi"/>
          <w:sz w:val="22"/>
          <w:szCs w:val="22"/>
        </w:rPr>
      </w:pPr>
      <w:r>
        <w:rPr>
          <w:noProof/>
        </w:rPr>
        <mc:AlternateContent>
          <mc:Choice Requires="wps">
            <w:drawing>
              <wp:anchor distT="0" distB="0" distL="114300" distR="114300" simplePos="0" relativeHeight="251658251" behindDoc="1" locked="0" layoutInCell="1" allowOverlap="1" wp14:anchorId="1A9418A3" wp14:editId="355A7D31">
                <wp:simplePos x="0" y="0"/>
                <wp:positionH relativeFrom="margin">
                  <wp:posOffset>-572184</wp:posOffset>
                </wp:positionH>
                <wp:positionV relativeFrom="paragraph">
                  <wp:posOffset>399659</wp:posOffset>
                </wp:positionV>
                <wp:extent cx="6842125" cy="4621823"/>
                <wp:effectExtent l="38100" t="38100" r="41275" b="39370"/>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621823"/>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05pt;margin-top:31.45pt;width:538.75pt;height:363.9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6218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" adj="-11796480,,5400" path="m440321,l6842125,r,l6842125,4181502v,243183,-197138,440321,-440321,440321l,4621823r,l,440321c,197138,197138,,440321,xe" fillcolor="#c00000" strokecolor="#c00000" strokeweight="6pt">
                <v:fill opacity="11822f"/>
                <v:stroke joinstyle="miter"/>
                <v:formulas/>
                <v:path arrowok="t" o:connecttype="custom" o:connectlocs="440321,0;6842125,0;6842125,0;6842125,4181502;6401804,4621823;0,4621823;0,4621823;0,440321;440321,0" o:connectangles="0,0,0,0,0,0,0,0,0" textboxrect="0,0,6842125,4621823"/>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63389A2" w14:textId="73BF9972" w:rsidR="00423715" w:rsidRPr="001138B3" w:rsidRDefault="00FC50B7" w:rsidP="003B716B">
      <w:pPr>
        <w:ind w:left="-567" w:right="-1"/>
        <w:rPr>
          <w:rFonts w:ascii="Acumin Pro" w:eastAsia="Calibri" w:hAnsi="Acumin Pro" w:cstheme="minorBidi"/>
          <w:sz w:val="22"/>
          <w:szCs w:val="22"/>
        </w:rPr>
      </w:pPr>
      <w:r>
        <w:rPr>
          <w:rFonts w:ascii="Acumin Pro" w:hAnsi="Acumin Pro"/>
          <w:b/>
          <w:bCs/>
          <w:sz w:val="22"/>
          <w:szCs w:val="22"/>
        </w:rPr>
        <w:br/>
      </w:r>
      <w:r>
        <w:rPr>
          <w:rFonts w:ascii="Acumin Pro" w:hAnsi="Acumin Pro"/>
          <w:b/>
          <w:bCs/>
          <w:sz w:val="22"/>
          <w:szCs w:val="22"/>
        </w:rPr>
        <w:br/>
      </w:r>
      <w:r>
        <w:rPr>
          <w:rFonts w:ascii="Acumin Pro" w:hAnsi="Acumin Pro"/>
          <w:b/>
          <w:sz w:val="22"/>
        </w:rPr>
        <w:t xml:space="preserve">111 Polis </w:t>
      </w:r>
      <w:r w:rsidR="001D3D0D">
        <w:rPr>
          <w:rFonts w:ascii="Acumin Pro" w:hAnsi="Acumin Pro"/>
          <w:b/>
          <w:sz w:val="22"/>
        </w:rPr>
        <w:t>A</w:t>
      </w:r>
      <w:r>
        <w:rPr>
          <w:rFonts w:ascii="Acumin Pro" w:hAnsi="Acumin Pro"/>
          <w:b/>
          <w:sz w:val="22"/>
        </w:rPr>
        <w:t>cil:</w:t>
      </w:r>
      <w:r w:rsidR="00423715" w:rsidRPr="00491622">
        <w:rPr>
          <w:rFonts w:ascii="Acumin Pro" w:hAnsi="Acumin Pro"/>
          <w:b/>
          <w:bCs/>
          <w:sz w:val="22"/>
          <w:szCs w:val="22"/>
        </w:rPr>
        <w:br/>
      </w:r>
      <w:r>
        <w:rPr>
          <w:rFonts w:ascii="Acumin Pro" w:hAnsi="Acumin Pro"/>
          <w:sz w:val="22"/>
        </w:rPr>
        <w:t>Aşağıdaki durumlarda 111'i arayın ve Polisi isteyin:</w:t>
      </w:r>
    </w:p>
    <w:p w14:paraId="62340A8E" w14:textId="101D933E"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İnsanlar yaralanmış veya tehlikede ise; veya</w:t>
      </w:r>
    </w:p>
    <w:p w14:paraId="0185C959" w14:textId="57486F3B"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Can veya mal güvenliği açısından ciddi, yakın veya muhtemel bir tehlike mevcutsa; veya bir suç işleniyorsa veya işlenmekteyse ve suçlular hâlâ olay yerindeyse veya olay yerinden yeni ayrılmışsa.</w:t>
      </w:r>
    </w:p>
    <w:p w14:paraId="048A140F" w14:textId="53AB5A59" w:rsidR="00423715" w:rsidRPr="00491622" w:rsidRDefault="00423715" w:rsidP="003B716B">
      <w:pPr>
        <w:ind w:left="-567" w:right="-1"/>
        <w:rPr>
          <w:rFonts w:ascii="Acumin Pro" w:eastAsia="Calibri" w:hAnsi="Acumin Pro" w:cstheme="minorHAnsi"/>
          <w:b/>
          <w:bCs/>
          <w:sz w:val="22"/>
          <w:szCs w:val="22"/>
        </w:rPr>
      </w:pPr>
      <w:r>
        <w:rPr>
          <w:rFonts w:ascii="Acumin Pro" w:hAnsi="Acumin Pro"/>
          <w:b/>
          <w:bCs/>
          <w:sz w:val="22"/>
          <w:szCs w:val="22"/>
        </w:rPr>
        <w:br/>
      </w:r>
      <w:r>
        <w:rPr>
          <w:rFonts w:ascii="Acumin Pro" w:hAnsi="Acumin Pro"/>
          <w:b/>
          <w:sz w:val="22"/>
        </w:rPr>
        <w:t>105 Acil Olmayan Durumlarda Polis İhbarı:</w:t>
      </w:r>
      <w:r w:rsidRPr="00491622">
        <w:rPr>
          <w:rFonts w:ascii="Acumin Pro" w:hAnsi="Acumin Pro"/>
          <w:b/>
          <w:bCs/>
          <w:sz w:val="22"/>
          <w:szCs w:val="22"/>
        </w:rPr>
        <w:br/>
      </w:r>
      <w:r w:rsidRPr="00491622">
        <w:rPr>
          <w:rFonts w:ascii="Acumin Pro" w:hAnsi="Acumin Pro"/>
          <w:sz w:val="22"/>
          <w:szCs w:val="22"/>
        </w:rPr>
        <w:t>Bilgi zaman açısından kritik değilse, kişiler şüpheli veya alışılmadık davranışları yerel Polislerine şu şekilde bildirebilirler:</w:t>
      </w:r>
    </w:p>
    <w:p w14:paraId="403023D2" w14:textId="6F3A1D94"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hyperlink r:id="rId18" w:history="1">
        <w:r>
          <w:rPr>
            <w:rStyle w:val="Hyperlink"/>
            <w:rFonts w:ascii="Acumin Pro" w:hAnsi="Acumin Pro"/>
            <w:sz w:val="22"/>
          </w:rPr>
          <w:t>105.police.govt.nz</w:t>
        </w:r>
      </w:hyperlink>
      <w:r>
        <w:rPr>
          <w:rFonts w:ascii="Acumin Pro" w:hAnsi="Acumin Pro"/>
          <w:sz w:val="22"/>
        </w:rPr>
        <w:t> adresinden çevrimiçi bir rapor doldurun veya Yeni Zelanda Polisi'nin acil olmayan numarası </w:t>
      </w:r>
      <w:hyperlink r:id="rId19" w:history="1">
        <w:r>
          <w:rPr>
            <w:rStyle w:val="Hyperlink"/>
            <w:rFonts w:ascii="Acumin Pro" w:hAnsi="Acumin Pro"/>
            <w:sz w:val="22"/>
          </w:rPr>
          <w:t>105'i</w:t>
        </w:r>
      </w:hyperlink>
      <w:r w:rsidR="001D3D0D">
        <w:t xml:space="preserve"> </w:t>
      </w:r>
      <w:r>
        <w:rPr>
          <w:rFonts w:ascii="Acumin Pro" w:hAnsi="Acumin Pro"/>
          <w:sz w:val="22"/>
        </w:rPr>
        <w:t>arayın</w:t>
      </w:r>
    </w:p>
    <w:p w14:paraId="11DB003F" w14:textId="6591E3CD"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En yakın </w:t>
      </w:r>
      <w:hyperlink r:id="rId20" w:history="1">
        <w:r>
          <w:rPr>
            <w:rStyle w:val="Hyperlink"/>
            <w:rFonts w:ascii="Acumin Pro" w:hAnsi="Acumin Pro"/>
            <w:sz w:val="22"/>
          </w:rPr>
          <w:t>polis karakolunu</w:t>
        </w:r>
      </w:hyperlink>
      <w:r w:rsidR="001D3D0D">
        <w:t xml:space="preserve"> </w:t>
      </w:r>
      <w:r>
        <w:rPr>
          <w:rFonts w:ascii="Acumin Pro" w:hAnsi="Acumin Pro"/>
          <w:sz w:val="22"/>
        </w:rPr>
        <w:t>ziyaret edin</w:t>
      </w:r>
    </w:p>
    <w:p w14:paraId="19A53A05" w14:textId="238DA05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hyperlink r:id="rId21" w:history="1">
        <w:r>
          <w:rPr>
            <w:rStyle w:val="Hyperlink"/>
            <w:rFonts w:ascii="Acumin Pro" w:hAnsi="Acumin Pro"/>
            <w:sz w:val="22"/>
          </w:rPr>
          <w:t>0800 555 111</w:t>
        </w:r>
      </w:hyperlink>
      <w:r>
        <w:rPr>
          <w:rFonts w:ascii="Acumin Pro" w:hAnsi="Acumin Pro"/>
          <w:sz w:val="22"/>
        </w:rPr>
        <w:t>numaralı  telefondan </w:t>
      </w:r>
      <w:hyperlink r:id="rId22" w:tgtFrame="_blank" w:history="1">
        <w:r>
          <w:rPr>
            <w:rStyle w:val="Hyperlink"/>
            <w:rFonts w:ascii="Acumin Pro" w:hAnsi="Acumin Pro"/>
            <w:sz w:val="22"/>
          </w:rPr>
          <w:t>Suç İhbar Hattını</w:t>
        </w:r>
      </w:hyperlink>
      <w:r w:rsidR="001D3D0D">
        <w:t xml:space="preserve"> </w:t>
      </w:r>
      <w:r>
        <w:rPr>
          <w:rFonts w:ascii="Acumin Pro" w:hAnsi="Acumin Pro"/>
          <w:sz w:val="22"/>
        </w:rPr>
        <w:t>arayın</w:t>
      </w:r>
    </w:p>
    <w:p w14:paraId="72AF9014" w14:textId="483E743C" w:rsidR="00423715" w:rsidRPr="0029150D" w:rsidRDefault="00423715" w:rsidP="003B716B">
      <w:pPr>
        <w:ind w:left="-567" w:right="-1"/>
        <w:rPr>
          <w:rFonts w:ascii="Acumin Pro" w:eastAsia="Calibri" w:hAnsi="Acumin Pro" w:cstheme="minorHAnsi"/>
          <w:sz w:val="22"/>
          <w:szCs w:val="22"/>
        </w:rPr>
      </w:pPr>
      <w:r>
        <w:rPr>
          <w:rFonts w:ascii="Acumin Pro" w:hAnsi="Acumin Pro"/>
          <w:sz w:val="22"/>
          <w:szCs w:val="22"/>
        </w:rPr>
        <w:br/>
      </w:r>
      <w:r>
        <w:rPr>
          <w:rFonts w:ascii="Acumin Pro" w:hAnsi="Acumin Pro"/>
          <w:sz w:val="22"/>
        </w:rPr>
        <w:t>Polisle görüşmeniz gerekiyorsa, herhangi bir cep telefonu veya sabit hattan 105'i arayın. Bu, ülke çapında 24/7 ücretsiz bir hizmettir.</w:t>
      </w:r>
      <w:r w:rsidR="001D3D0D">
        <w:rPr>
          <w:rFonts w:ascii="Acumin Pro" w:hAnsi="Acumin Pro"/>
          <w:sz w:val="22"/>
        </w:rPr>
        <w:t xml:space="preserve"> </w:t>
      </w:r>
      <w:r>
        <w:rPr>
          <w:rFonts w:ascii="Acumin Pro" w:hAnsi="Acumin Pro"/>
          <w:sz w:val="22"/>
        </w:rPr>
        <w:t xml:space="preserve">105'e ulaşamıyorsanız lütfen çevrimiçi olarak bizimle iletişime geçin </w:t>
      </w:r>
      <w:hyperlink r:id="rId23" w:history="1">
        <w:r>
          <w:rPr>
            <w:rStyle w:val="Hyperlink"/>
            <w:rFonts w:ascii="Acumin Pro" w:hAnsi="Acumin Pro"/>
            <w:sz w:val="22"/>
          </w:rPr>
          <w:t>https://www.police.govt.nz/use-105</w:t>
        </w:r>
      </w:hyperlink>
      <w:r>
        <w:rPr>
          <w:rFonts w:ascii="Acumin Pro" w:hAnsi="Acumin Pro"/>
          <w:sz w:val="22"/>
        </w:rPr>
        <w:t>.</w:t>
      </w:r>
      <w:bookmarkStart w:id="0" w:name="_Hlk199169944"/>
      <w:r>
        <w:rPr>
          <w:rFonts w:ascii="Acumin Pro" w:hAnsi="Acumin Pro"/>
          <w:b/>
          <w:bCs/>
          <w:color w:val="3A1335"/>
          <w:kern w:val="32"/>
          <w:sz w:val="32"/>
          <w:szCs w:val="32"/>
        </w:rPr>
        <w:br w:type="page"/>
      </w:r>
    </w:p>
    <w:p w14:paraId="7F5FE83E" w14:textId="48CDBD94" w:rsidR="00423715" w:rsidRDefault="00AF2927" w:rsidP="00423715">
      <w:pPr>
        <w:spacing w:line="276" w:lineRule="auto"/>
        <w:ind w:left="-567"/>
        <w:rPr>
          <w:rFonts w:ascii="Acumin Pro" w:eastAsia="Arial" w:hAnsi="Acumin Pro" w:cstheme="minorHAnsi"/>
          <w:sz w:val="22"/>
          <w:szCs w:val="22"/>
        </w:rPr>
      </w:pPr>
      <w:r>
        <w:rPr>
          <w:noProof/>
        </w:rPr>
        <w:lastRenderedPageBreak/>
        <mc:AlternateContent>
          <mc:Choice Requires="wps">
            <w:drawing>
              <wp:anchor distT="0" distB="0" distL="114300" distR="114300" simplePos="0" relativeHeight="251658247" behindDoc="1" locked="0" layoutInCell="1" allowOverlap="1" wp14:anchorId="15C796F6" wp14:editId="386B8F6F">
                <wp:simplePos x="0" y="0"/>
                <wp:positionH relativeFrom="margin">
                  <wp:posOffset>-455930</wp:posOffset>
                </wp:positionH>
                <wp:positionV relativeFrom="paragraph">
                  <wp:posOffset>-201930</wp:posOffset>
                </wp:positionV>
                <wp:extent cx="6591300" cy="9131300"/>
                <wp:effectExtent l="38100" t="38100" r="38100" b="31750"/>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9131300"/>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35.9pt;margin-top:-15.9pt;width:519pt;height:719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13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" adj="-11796480,,5400" path="m627953,l6591300,r,l6591300,8503347v,346809,-281144,627953,-627953,627953l,9131300r,l,627953c,281144,281144,,627953,xe" filled="f" strokecolor="#3a1335" strokeweight="6pt">
                <v:stroke joinstyle="miter"/>
                <v:formulas/>
                <v:path arrowok="t" o:connecttype="custom" o:connectlocs="627953,0;6591300,0;6591300,0;6591300,8503347;5963347,9131300;0,9131300;0,9131300;0,627953;627953,0" o:connectangles="0,0,0,0,0,0,0,0,0" textboxrect="0,0,6591300,9131300"/>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722772">
        <w:rPr>
          <w:rFonts w:ascii="Acumin Pro" w:hAnsi="Acumin Pro"/>
          <w:noProof/>
          <w:sz w:val="22"/>
          <w:szCs w:val="22"/>
        </w:rPr>
        <w:drawing>
          <wp:anchor distT="0" distB="0" distL="114300" distR="114300" simplePos="0" relativeHeight="251658242" behindDoc="1" locked="0" layoutInCell="1" allowOverlap="1" wp14:anchorId="33CAD41C" wp14:editId="0A479451">
            <wp:simplePos x="0" y="0"/>
            <wp:positionH relativeFrom="column">
              <wp:posOffset>-456565</wp:posOffset>
            </wp:positionH>
            <wp:positionV relativeFrom="paragraph">
              <wp:posOffset>-83674</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b/>
          <w:color w:val="3A1335"/>
          <w:kern w:val="32"/>
          <w:sz w:val="32"/>
        </w:rPr>
        <w:t xml:space="preserve"> </w:t>
      </w:r>
      <w:r w:rsidR="00423715" w:rsidRPr="00591704">
        <w:rPr>
          <w:rFonts w:ascii="Acumin Pro" w:hAnsi="Acumin Pro"/>
          <w:b/>
          <w:bCs/>
          <w:color w:val="3A1335"/>
          <w:kern w:val="32"/>
          <w:sz w:val="32"/>
          <w:szCs w:val="32"/>
        </w:rPr>
        <w:br/>
      </w:r>
      <w:r w:rsidR="00423715" w:rsidRPr="00722772">
        <w:rPr>
          <w:rFonts w:ascii="Acumin Pro" w:hAnsi="Acumin Pro"/>
          <w:sz w:val="22"/>
          <w:szCs w:val="22"/>
        </w:rPr>
        <w:br/>
      </w:r>
      <w:bookmarkStart w:id="1" w:name="_Hlk199169953"/>
    </w:p>
    <w:p w14:paraId="29B03CDF" w14:textId="77777777" w:rsidR="00AF2927" w:rsidRDefault="00AF2927" w:rsidP="00423715">
      <w:pPr>
        <w:spacing w:line="276" w:lineRule="auto"/>
        <w:ind w:left="-567"/>
        <w:rPr>
          <w:rFonts w:ascii="Acumin Pro" w:eastAsia="Arial" w:hAnsi="Acumin Pro" w:cstheme="minorHAnsi"/>
          <w:sz w:val="22"/>
          <w:szCs w:val="22"/>
        </w:rPr>
      </w:pPr>
    </w:p>
    <w:p w14:paraId="54374D4B" w14:textId="77777777" w:rsidR="00AF2927" w:rsidRDefault="00AF2927" w:rsidP="00423715">
      <w:pPr>
        <w:spacing w:line="276" w:lineRule="auto"/>
        <w:ind w:left="-567"/>
        <w:rPr>
          <w:rFonts w:ascii="Acumin Pro" w:eastAsia="Arial" w:hAnsi="Acumin Pro" w:cstheme="minorHAnsi"/>
          <w:sz w:val="22"/>
          <w:szCs w:val="22"/>
        </w:rPr>
        <w:sectPr w:rsidR="00AF2927" w:rsidSect="00423715">
          <w:type w:val="continuous"/>
          <w:pgSz w:w="11907" w:h="16840" w:code="9"/>
          <w:pgMar w:top="1418" w:right="1418" w:bottom="992" w:left="1418" w:header="425" w:footer="635" w:gutter="0"/>
          <w:cols w:space="708"/>
          <w:titlePg/>
          <w:docGrid w:linePitch="360"/>
        </w:sectPr>
      </w:pPr>
    </w:p>
    <w:p w14:paraId="6F814B01" w14:textId="77777777" w:rsidR="00423715" w:rsidRPr="00D25314" w:rsidRDefault="00423715" w:rsidP="009F442B">
      <w:pPr>
        <w:spacing w:line="276" w:lineRule="auto"/>
        <w:ind w:left="-567"/>
        <w:rPr>
          <w:rFonts w:ascii="Acumin Pro" w:hAnsi="Acumin Pro" w:cs="Arial"/>
          <w:b/>
          <w:bCs/>
          <w:color w:val="00908B"/>
          <w:kern w:val="32"/>
          <w:sz w:val="48"/>
          <w:szCs w:val="48"/>
        </w:rPr>
      </w:pPr>
      <w:r>
        <w:rPr>
          <w:rFonts w:ascii="Acumin Pro" w:hAnsi="Acumin Pro"/>
          <w:sz w:val="22"/>
        </w:rPr>
        <w:t xml:space="preserve">Yeni Zelanda Güvenlik İstihbarat Servisi (NZSIS), Yeni Zelanda'nın iç güvenlik istihbarat teşkilatıdır. Misyonu </w:t>
      </w:r>
      <w:r w:rsidRPr="00491622">
        <w:rPr>
          <w:rFonts w:ascii="Acumin Pro" w:hAnsi="Acumin Pro"/>
          <w:color w:val="212529"/>
          <w:sz w:val="22"/>
          <w:szCs w:val="22"/>
        </w:rPr>
        <w:t>Yeni Zelanda'yı ve burada yaşayan herkesi güvende ve emniyette tutmaktır.</w:t>
      </w:r>
      <w:r>
        <w:rPr>
          <w:rFonts w:ascii="Acumin Pro" w:hAnsi="Acumin Pro"/>
          <w:sz w:val="22"/>
        </w:rPr>
        <w:t xml:space="preserve"> </w:t>
      </w:r>
    </w:p>
    <w:p w14:paraId="4E2746D8"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NZSIS, Yeni Zelanda'nın ulusal güvenliğine yönelik tehditleri araştıran bir kamu hizmeti kuruluşudur. Bu </w:t>
      </w:r>
      <w:r w:rsidRPr="00491622">
        <w:rPr>
          <w:rFonts w:ascii="Acumin Pro" w:hAnsi="Acumin Pro"/>
          <w:color w:val="212529"/>
          <w:sz w:val="22"/>
          <w:szCs w:val="22"/>
        </w:rPr>
        <w:t>, Yeni Zelanda'nın özgür, açık ve demokratik bir toplum olarak korunması anlamına gelir. Ayrıca Yeni Zelanda'nın uluslararası ilişkilerinin ve ekonomik refahının korunmasına da yardımcı olur.</w:t>
      </w:r>
    </w:p>
    <w:p w14:paraId="53D5B272" w14:textId="25FDBB9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NZ</w:t>
      </w:r>
      <w:r w:rsidR="003F7DA7">
        <w:rPr>
          <w:rFonts w:ascii="Acumin Pro" w:hAnsi="Acumin Pro"/>
          <w:sz w:val="22"/>
        </w:rPr>
        <w:t>S</w:t>
      </w:r>
      <w:r>
        <w:rPr>
          <w:rFonts w:ascii="Acumin Pro" w:hAnsi="Acumin Pro"/>
          <w:sz w:val="22"/>
        </w:rPr>
        <w:t>IS, Yeni Zelanda'nın iç güvenlik ajansıdır ve insan istihbaratı alanında öncüdür.</w:t>
      </w:r>
      <w:r w:rsidRPr="00491622">
        <w:rPr>
          <w:rFonts w:ascii="Acumin Pro" w:hAnsi="Acumin Pro"/>
          <w:color w:val="212529"/>
          <w:sz w:val="22"/>
          <w:szCs w:val="22"/>
        </w:rPr>
        <w:t xml:space="preserve"> Bu, çeşitli insanlarla konuşarak bilgi topladığı anlamına gelir</w:t>
      </w:r>
      <w:r>
        <w:rPr>
          <w:rFonts w:ascii="Acumin Pro" w:hAnsi="Acumin Pro"/>
          <w:sz w:val="22"/>
        </w:rPr>
        <w:t xml:space="preserve">. NZSIS tarafından üretilen istihbarat, hükümet ve diğer politika </w:t>
      </w:r>
      <w:r w:rsidRPr="00491622">
        <w:rPr>
          <w:rFonts w:ascii="Acumin Pro" w:hAnsi="Acumin Pro"/>
          <w:color w:val="212529"/>
          <w:sz w:val="22"/>
          <w:szCs w:val="22"/>
        </w:rPr>
        <w:t xml:space="preserve"> üreticilerinin iyi karar alma süreçlerine destek olmak amacıyla kullanılır.</w:t>
      </w:r>
      <w:r>
        <w:rPr>
          <w:rFonts w:ascii="Acumin Pro" w:hAnsi="Acumin Pro"/>
          <w:sz w:val="22"/>
        </w:rPr>
        <w:t xml:space="preserve"> </w:t>
      </w:r>
    </w:p>
    <w:p w14:paraId="482BA16C"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NZSIS'in bir diğer işlevi de hükümet kurumlarının ve diğer kuruluşların insanlarını, bilgilerini ve varlıklarını ulusal güvenlik tehditlerinden korumalarına yardımcı olmaktır.</w:t>
      </w:r>
    </w:p>
    <w:p w14:paraId="4CDC7630"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NZSIS’in odaklandığı temel alanlar şunlardır: </w:t>
      </w:r>
    </w:p>
    <w:p w14:paraId="40AEF3FE" w14:textId="08442346" w:rsidR="00423715" w:rsidRPr="00D25314" w:rsidRDefault="001D3D0D"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E</w:t>
      </w:r>
      <w:r w:rsidR="00423715">
        <w:rPr>
          <w:rFonts w:ascii="Acumin Pro" w:hAnsi="Acumin Pro"/>
          <w:sz w:val="22"/>
        </w:rPr>
        <w:t xml:space="preserve">tnik toplulukların </w:t>
      </w:r>
      <w:r>
        <w:rPr>
          <w:rFonts w:ascii="Acumin Pro" w:hAnsi="Acumin Pro"/>
          <w:sz w:val="22"/>
        </w:rPr>
        <w:t>zorlukla</w:t>
      </w:r>
      <w:r w:rsidR="00423715">
        <w:rPr>
          <w:rFonts w:ascii="Acumin Pro" w:hAnsi="Acumin Pro"/>
          <w:sz w:val="22"/>
        </w:rPr>
        <w:t xml:space="preserve"> yabancı devlet faaliyetleriyle hedef alınması da dahil</w:t>
      </w:r>
      <w:r>
        <w:rPr>
          <w:rFonts w:ascii="Acumin Pro" w:hAnsi="Acumin Pro"/>
          <w:sz w:val="22"/>
        </w:rPr>
        <w:t>, dış müdahale.</w:t>
      </w:r>
    </w:p>
    <w:p w14:paraId="12D327F9"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Casusluk</w:t>
      </w:r>
    </w:p>
    <w:p w14:paraId="49B146FC"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Şiddet içeren aşırılıkçılık ve terörizm  </w:t>
      </w:r>
    </w:p>
    <w:p w14:paraId="30FD0EFC" w14:textId="77777777" w:rsidR="00423715" w:rsidRDefault="00423715" w:rsidP="00423715">
      <w:pPr>
        <w:spacing w:before="0" w:after="160" w:line="257" w:lineRule="auto"/>
        <w:ind w:left="-567"/>
        <w:rPr>
          <w:rFonts w:ascii="Acumin Pro" w:eastAsia="Arial" w:hAnsi="Acumin Pro" w:cstheme="minorHAnsi"/>
          <w:sz w:val="22"/>
          <w:szCs w:val="22"/>
        </w:rPr>
      </w:pPr>
    </w:p>
    <w:p w14:paraId="7734A06D"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NZSIS, Yeni Zelanda Polisi ve Hükümet İletişim Güvenlik Bürosu (GCSB) gibi yerel ortaklarla yakın bir şekilde çalışmaktadır.  Ayrıca misyonunun bir parçası olarak topluluklar, iwi Maori, yerel yönetimler, eğitim sektörü, işletmeler ve kuruluşlarla da çalışmaktadır.</w:t>
      </w:r>
    </w:p>
    <w:p w14:paraId="38FB6F5B"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NZSIS, yasalara uygun hareket etmesini, siyasi açıdan tarafsız olmasını ve insan hakları yükümlülüklerini yerine getirmesini sağlayan 2017 İstihbarat ve Güvenlik Yasası adı verilen bir yasa kapsamında faaliyet göstermektedir</w:t>
      </w:r>
      <w:r w:rsidRPr="00491622">
        <w:rPr>
          <w:rFonts w:ascii="Acumin Pro" w:hAnsi="Acumin Pro"/>
          <w:color w:val="000000" w:themeColor="text1"/>
          <w:sz w:val="22"/>
          <w:szCs w:val="22"/>
        </w:rPr>
        <w:t>.  NZSIS, Yeni Zelanda hükümetinin belirlediği istihbarat önceliklerine uygun olarak çalışmalıdır.</w:t>
      </w:r>
    </w:p>
    <w:p w14:paraId="20EBD658"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hAnsi="Acumin Pro"/>
          <w:color w:val="000000" w:themeColor="text1"/>
          <w:sz w:val="22"/>
          <w:szCs w:val="22"/>
        </w:rPr>
        <w:t xml:space="preserve">NZSIS kimseyi tutuklayamaz veya gözaltına alamaz ve </w:t>
      </w:r>
      <w:r>
        <w:rPr>
          <w:rFonts w:ascii="Acumin Pro" w:hAnsi="Acumin Pro"/>
          <w:sz w:val="22"/>
        </w:rPr>
        <w:t xml:space="preserve">insanları inançları, milliyetleri veya yasal protesto faaliyetlerine katılmaları nedeniyle soruşturmaz. </w:t>
      </w:r>
    </w:p>
    <w:p w14:paraId="128AB11C"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Tüm kamu hizmeti birimleri gibi NZSIS de Ombudsman'a, Gizlilik Komiserine, Sayıştay Ofisi'ne ve Kamu Hizmeti Komisyonu'na </w:t>
      </w:r>
      <w:r w:rsidRPr="00491622">
        <w:rPr>
          <w:rFonts w:ascii="Acumin Pro" w:hAnsi="Acumin Pro"/>
          <w:color w:val="000000" w:themeColor="text1"/>
          <w:sz w:val="22"/>
          <w:szCs w:val="22"/>
        </w:rPr>
        <w:t xml:space="preserve">karşı sorumludur </w:t>
      </w:r>
      <w:r>
        <w:rPr>
          <w:rFonts w:ascii="Acumin Pro" w:hAnsi="Acumin Pro"/>
          <w:sz w:val="22"/>
        </w:rPr>
        <w:t>.</w:t>
      </w:r>
      <w:r w:rsidRPr="00491622">
        <w:rPr>
          <w:rFonts w:ascii="Acumin Pro" w:hAnsi="Acumin Pro"/>
          <w:color w:val="000000" w:themeColor="text1"/>
          <w:sz w:val="22"/>
          <w:szCs w:val="22"/>
        </w:rPr>
        <w:t xml:space="preserve"> </w:t>
      </w:r>
    </w:p>
    <w:p w14:paraId="6DB9290E" w14:textId="22D6E925"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hAnsi="Acumin Pro"/>
          <w:sz w:val="22"/>
          <w:szCs w:val="22"/>
        </w:rPr>
        <w:t>NZSIS ayrıca İstihbarat ve Güvenlik Genel Müfettişi'nin sıkı ve bağımsız denetimine tabidir. İstihbarat ve Güvenlik Genel Müfettişinin görevi, istihbarat teşkilatlarının yasalara ve kurallara uygun hareket etmesini sağlamak için şikâyetleri araştırmak ve soruşturmalar yürütmektir. NZSIS aynı zamanda Yeni Zelanda Parlamentosu'na ve Bakanlara karşı da sorumludur.</w:t>
      </w:r>
    </w:p>
    <w:p w14:paraId="7368EC87" w14:textId="77777777" w:rsidR="00423715" w:rsidRDefault="00423715" w:rsidP="00423715">
      <w:pPr>
        <w:spacing w:before="0" w:after="160" w:line="257" w:lineRule="auto"/>
        <w:ind w:left="-567"/>
        <w:rPr>
          <w:rFonts w:ascii="Acumin Pro" w:eastAsia="Arial" w:hAnsi="Acumin Pro" w:cstheme="minorHAns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B46ED5B" w14:textId="57408018" w:rsidR="00116806" w:rsidRDefault="00423715" w:rsidP="00423715">
      <w:pPr>
        <w:spacing w:before="0" w:after="160" w:line="257" w:lineRule="auto"/>
        <w:ind w:left="-567"/>
      </w:pPr>
      <w:r>
        <w:rPr>
          <w:rFonts w:ascii="Acumin Pro" w:hAnsi="Acumin Pro"/>
          <w:b/>
          <w:bCs/>
          <w:sz w:val="22"/>
          <w:szCs w:val="22"/>
        </w:rPr>
        <w:br/>
      </w:r>
      <w:r>
        <w:rPr>
          <w:rFonts w:ascii="Acumin Pro" w:hAnsi="Acumin Pro"/>
          <w:b/>
          <w:sz w:val="22"/>
        </w:rPr>
        <w:t>Daha fazlasını öğrenin</w:t>
      </w:r>
      <w:r w:rsidRPr="00491622">
        <w:rPr>
          <w:rFonts w:ascii="Acumin Pro" w:hAnsi="Acumin Pro"/>
          <w:sz w:val="22"/>
          <w:szCs w:val="22"/>
        </w:rPr>
        <w:t xml:space="preserve"> </w:t>
      </w:r>
      <w:hyperlink r:id="rId25">
        <w:r w:rsidR="009F442B" w:rsidRPr="00491622">
          <w:rPr>
            <w:rStyle w:val="Hyperlink"/>
            <w:rFonts w:ascii="Acumin Pro" w:eastAsia="Arial" w:hAnsi="Acumin Pro" w:cstheme="minorHAnsi"/>
            <w:color w:val="467886"/>
            <w:sz w:val="22"/>
            <w:szCs w:val="22"/>
          </w:rPr>
          <w:t>Home | New Zealand Security Intelligence Service</w:t>
        </w:r>
      </w:hyperlink>
      <w:r>
        <w:rPr>
          <w:rFonts w:ascii="Acumin Pro" w:hAnsi="Acumin Pro"/>
          <w:sz w:val="22"/>
          <w:szCs w:val="22"/>
        </w:rPr>
        <w:br/>
      </w:r>
      <w:r>
        <w:rPr>
          <w:rFonts w:ascii="Acumin Pro" w:hAnsi="Acumin Pro"/>
          <w:b/>
          <w:sz w:val="22"/>
        </w:rPr>
        <w:t>Bilgilendirilmeye devam edin</w:t>
      </w:r>
      <w:r w:rsidRPr="00491622">
        <w:rPr>
          <w:rFonts w:ascii="Acumin Pro" w:hAnsi="Acumin Pro"/>
          <w:sz w:val="22"/>
          <w:szCs w:val="22"/>
        </w:rPr>
        <w:t xml:space="preserve"> </w:t>
      </w:r>
      <w:hyperlink r:id="rId26">
        <w:r w:rsidR="009F442B" w:rsidRPr="00491622">
          <w:rPr>
            <w:rStyle w:val="Hyperlink"/>
            <w:rFonts w:ascii="Acumin Pro" w:eastAsia="Arial" w:hAnsi="Acumin Pro" w:cstheme="minorHAnsi"/>
            <w:color w:val="467886"/>
            <w:sz w:val="22"/>
            <w:szCs w:val="22"/>
          </w:rPr>
          <w:t>Engagement | New Zealand Security Intelligence Service</w:t>
        </w:r>
      </w:hyperlink>
      <w:r>
        <w:rPr>
          <w:rFonts w:ascii="Acumin Pro" w:hAnsi="Acumin Pro"/>
          <w:sz w:val="22"/>
          <w:szCs w:val="22"/>
        </w:rPr>
        <w:br/>
      </w:r>
      <w:r>
        <w:rPr>
          <w:rFonts w:ascii="Acumin Pro" w:hAnsi="Acumin Pro"/>
          <w:b/>
          <w:sz w:val="22"/>
        </w:rPr>
        <w:t>Bir endişeyi bildirin</w:t>
      </w:r>
      <w:r w:rsidRPr="00491622">
        <w:rPr>
          <w:rFonts w:ascii="Acumin Pro" w:hAnsi="Acumin Pro"/>
          <w:sz w:val="22"/>
          <w:szCs w:val="22"/>
        </w:rPr>
        <w:t xml:space="preserve"> </w:t>
      </w:r>
      <w:bookmarkEnd w:id="1"/>
      <w:r w:rsidR="009F442B">
        <w:fldChar w:fldCharType="begin"/>
      </w:r>
      <w:r w:rsidR="009F442B">
        <w:instrText>HYPERLINK "https://providinginformation.nzsis.govt.nz/" \l "a0oqnn86a0h5j4obesc8udlij" \h</w:instrText>
      </w:r>
      <w:r w:rsidR="009F442B">
        <w:fldChar w:fldCharType="separate"/>
      </w:r>
      <w:r w:rsidR="009F442B" w:rsidRPr="00491622">
        <w:rPr>
          <w:rStyle w:val="Hyperlink"/>
          <w:rFonts w:ascii="Acumin Pro" w:eastAsia="Arial" w:hAnsi="Acumin Pro" w:cstheme="minorHAnsi"/>
          <w:color w:val="467886"/>
          <w:sz w:val="22"/>
          <w:szCs w:val="22"/>
        </w:rPr>
        <w:t>Reporting a national security concern</w:t>
      </w:r>
      <w:r w:rsidR="009F442B">
        <w:fldChar w:fldCharType="end"/>
      </w:r>
    </w:p>
    <w:p w14:paraId="451BD769" w14:textId="68E50DD0" w:rsidR="00127352" w:rsidRDefault="00060928" w:rsidP="00116806">
      <w:pPr>
        <w:keepLines w:val="0"/>
      </w:pPr>
      <w:r>
        <w:rPr>
          <w:noProof/>
        </w:rPr>
        <w:lastRenderedPageBreak/>
        <mc:AlternateContent>
          <mc:Choice Requires="wps">
            <w:drawing>
              <wp:anchor distT="0" distB="0" distL="114300" distR="114300" simplePos="0" relativeHeight="251658246" behindDoc="1" locked="0" layoutInCell="1" allowOverlap="1" wp14:anchorId="0A6F6FEC" wp14:editId="26ACF9F6">
                <wp:simplePos x="0" y="0"/>
                <wp:positionH relativeFrom="margin">
                  <wp:posOffset>-636518</wp:posOffset>
                </wp:positionH>
                <wp:positionV relativeFrom="paragraph">
                  <wp:posOffset>-663547</wp:posOffset>
                </wp:positionV>
                <wp:extent cx="6591300" cy="9527319"/>
                <wp:effectExtent l="38100" t="38100" r="38100" b="36195"/>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527319"/>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margin-left:-50.1pt;margin-top:-52.25pt;width:519pt;height:750.2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5273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" adj="-11796480,,5400" path="m627953,l6591300,r,l6591300,8899366v,346809,-281144,627953,-627953,627953l,9527319r,l,627953c,281144,281144,,627953,xe" filled="f" strokecolor="#3a1335" strokeweight="6pt">
                <v:stroke joinstyle="miter"/>
                <v:formulas/>
                <v:path arrowok="t" o:connecttype="custom" o:connectlocs="627953,0;6591300,0;6591300,0;6591300,8899366;5963347,9527319;0,9527319;0,9527319;0,627953;627953,0" o:connectangles="0,0,0,0,0,0,0,0,0" textboxrect="0,0,6591300,9527319"/>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127352" w:rsidRPr="00722772">
        <w:rPr>
          <w:rFonts w:ascii="Acumin Pro" w:hAnsi="Acumin Pro"/>
          <w:noProof/>
          <w:sz w:val="22"/>
          <w:szCs w:val="22"/>
        </w:rPr>
        <w:drawing>
          <wp:anchor distT="0" distB="0" distL="114300" distR="114300" simplePos="0" relativeHeight="251660301" behindDoc="0" locked="0" layoutInCell="1" allowOverlap="1" wp14:anchorId="14850901" wp14:editId="0F350661">
            <wp:simplePos x="0" y="0"/>
            <wp:positionH relativeFrom="margin">
              <wp:posOffset>-617363</wp:posOffset>
            </wp:positionH>
            <wp:positionV relativeFrom="paragraph">
              <wp:posOffset>-413018</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7">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035AAD" w14:textId="3FF911C6" w:rsidR="00116806" w:rsidRPr="00116806" w:rsidRDefault="00116806" w:rsidP="00116806">
      <w:pPr>
        <w:keepLines w:val="0"/>
      </w:pPr>
    </w:p>
    <w:p w14:paraId="17D33011" w14:textId="5BE45579" w:rsidR="00FB56B0" w:rsidRDefault="00FB56B0" w:rsidP="00127352">
      <w:pPr>
        <w:keepLines w:val="0"/>
        <w:rPr>
          <w:rFonts w:ascii="Acumin Pro" w:hAnsi="Acumin Pro"/>
          <w:sz w:val="22"/>
          <w:szCs w:val="22"/>
        </w:rPr>
        <w:sectPr w:rsidR="00FB56B0" w:rsidSect="00FB56B0">
          <w:type w:val="continuous"/>
          <w:pgSz w:w="11907" w:h="16840" w:code="9"/>
          <w:pgMar w:top="1418" w:right="1418" w:bottom="992" w:left="1701" w:header="425" w:footer="635" w:gutter="0"/>
          <w:cols w:space="1134"/>
          <w:titlePg/>
          <w:docGrid w:linePitch="360"/>
        </w:sectPr>
      </w:pPr>
      <w:bookmarkStart w:id="2" w:name="_Hlk199169935"/>
    </w:p>
    <w:p w14:paraId="479356F5" w14:textId="77777777" w:rsidR="00423715" w:rsidRPr="00D5054C" w:rsidRDefault="00423715" w:rsidP="00FB56B0">
      <w:pPr>
        <w:spacing w:line="276" w:lineRule="auto"/>
        <w:ind w:left="-567"/>
        <w:rPr>
          <w:rFonts w:ascii="Acumin Pro" w:hAnsi="Acumin Pro"/>
          <w:sz w:val="22"/>
          <w:szCs w:val="22"/>
        </w:rPr>
      </w:pPr>
      <w:r>
        <w:rPr>
          <w:rFonts w:ascii="Acumin Pro" w:hAnsi="Acumin Pro"/>
          <w:sz w:val="22"/>
        </w:rPr>
        <w:t>Hükümet İletişim Güvenlik Bürosu (GCSB) Yeni</w:t>
      </w:r>
      <w:r w:rsidRPr="00ED2618">
        <w:rPr>
          <w:rFonts w:ascii="Arial" w:hAnsi="Arial"/>
          <w:sz w:val="22"/>
          <w:szCs w:val="22"/>
        </w:rPr>
        <w:t> </w:t>
      </w:r>
      <w:r>
        <w:rPr>
          <w:rFonts w:ascii="Acumin Pro" w:hAnsi="Acumin Pro"/>
          <w:sz w:val="22"/>
        </w:rPr>
        <w:t>Zelanda'nın sinyal istihbaratı konusunda lider ajansı. Bu, elektronik haberleşmelerden elde edilen istihbarat anlamına gelir.  </w:t>
      </w:r>
    </w:p>
    <w:p w14:paraId="7A7BC5B3"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Bu istihbarat, hükümet kurumlarının operasyonlarını ve karar alma süreçlerini desteklemek amacıyla onlara sağlanır. GCSB ayrıca, özellikle Avustralya, ABD, İngiltere ve Kanada olmak üzere yurtdışındaki ortaklardan da istihbarat alıyor. GCSB ile yurtdışı istihbaratının bu birleşimi, Yeni Zelanda'nın dünyayı anlamasını ve ulusal güvenlik tehditlerini yönetmesini sağlıyor. </w:t>
      </w:r>
    </w:p>
    <w:p w14:paraId="795C55EA" w14:textId="77777777" w:rsidR="00423715" w:rsidRDefault="00423715" w:rsidP="00423715">
      <w:pPr>
        <w:spacing w:line="276" w:lineRule="auto"/>
        <w:ind w:left="-567"/>
        <w:rPr>
          <w:rFonts w:ascii="Acumin Pro" w:hAnsi="Acumin Pro"/>
          <w:sz w:val="22"/>
          <w:szCs w:val="22"/>
        </w:rPr>
      </w:pPr>
      <w:r>
        <w:rPr>
          <w:rFonts w:ascii="Acumin Pro" w:hAnsi="Acumin Pro"/>
          <w:sz w:val="22"/>
        </w:rPr>
        <w:t>GCSB ayrıca, GCSB içindeki bir iş birimi olan Ulusal Siber Güvenlik Merkezi (NCSC) aracılığıyla siber güvenliğin başlıca operasyonel kuruluşudur. NCSC, bireylerden küçük ve orta ölçekli işletmelere ve kuruluşlara, büyük işletmelere, hükümete ve ulusal olarak önemli kuruluşlara kadar tüm Yeni Zelanda'ya siber güvenlik hizmetleri sunmaktadır. </w:t>
      </w:r>
    </w:p>
    <w:p w14:paraId="6658F5CE" w14:textId="77777777" w:rsidR="00423715" w:rsidRPr="006002B2" w:rsidRDefault="00423715" w:rsidP="00423715">
      <w:pPr>
        <w:spacing w:line="276" w:lineRule="auto"/>
        <w:ind w:left="-567"/>
        <w:rPr>
          <w:rFonts w:ascii="Acumin Pro" w:hAnsi="Acumin Pro"/>
          <w:sz w:val="22"/>
          <w:szCs w:val="22"/>
        </w:rPr>
      </w:pPr>
      <w:hyperlink r:id="rId28" w:tgtFrame="_blank" w:history="1">
        <w:r>
          <w:rPr>
            <w:rStyle w:val="Hyperlink"/>
            <w:rFonts w:ascii="Acumin Pro" w:hAnsi="Acumin Pro"/>
            <w:sz w:val="22"/>
            <w:u w:val="none"/>
          </w:rPr>
          <w:t>Own Your Online</w:t>
        </w:r>
      </w:hyperlink>
      <w:r>
        <w:rPr>
          <w:rFonts w:ascii="Acumin Pro" w:hAnsi="Acumin Pro"/>
          <w:sz w:val="22"/>
        </w:rPr>
        <w:t xml:space="preserve">, NCSC'nin bireyler ve küçük ve orta ölçekli işletmeler için siber güvenlik tavsiyesi ve rehberliği sağlamaya odaklanan web sitesidir. Bir siber güvenlik olayını bildirmek için </w:t>
      </w:r>
      <w:hyperlink r:id="rId29" w:tgtFrame="_blank" w:history="1">
        <w:r>
          <w:rPr>
            <w:rStyle w:val="Hyperlink"/>
            <w:rFonts w:ascii="Acumin Pro" w:hAnsi="Acumin Pro"/>
            <w:sz w:val="22"/>
            <w:u w:val="none"/>
          </w:rPr>
          <w:t xml:space="preserve">Own Your Online </w:t>
        </w:r>
      </w:hyperlink>
      <w:r>
        <w:rPr>
          <w:rFonts w:ascii="Acumin Pro" w:hAnsi="Acumin Pro"/>
          <w:sz w:val="22"/>
        </w:rPr>
        <w:t xml:space="preserve"> web sitesini veya </w:t>
      </w:r>
      <w:hyperlink r:id="rId30" w:tgtFrame="_blank" w:history="1">
        <w:r>
          <w:rPr>
            <w:rStyle w:val="Hyperlink"/>
            <w:rFonts w:ascii="Acumin Pro" w:hAnsi="Acumin Pro"/>
            <w:sz w:val="22"/>
            <w:u w:val="none"/>
          </w:rPr>
          <w:t>Ulusal Siber Güvenlik Merkezi'ni</w:t>
        </w:r>
      </w:hyperlink>
      <w:r>
        <w:rPr>
          <w:rFonts w:ascii="Acumin Pro" w:hAnsi="Acumin Pro"/>
          <w:sz w:val="22"/>
        </w:rPr>
        <w:t xml:space="preserve"> ziyaret edin. </w:t>
      </w:r>
    </w:p>
    <w:p w14:paraId="7DDACD27" w14:textId="1FB792F8" w:rsidR="00423715" w:rsidRDefault="00423715" w:rsidP="00423715">
      <w:pPr>
        <w:spacing w:line="276" w:lineRule="auto"/>
        <w:ind w:left="-567"/>
        <w:rPr>
          <w:rFonts w:ascii="Acumin Pro" w:hAnsi="Acumin Pro"/>
          <w:sz w:val="22"/>
          <w:szCs w:val="22"/>
        </w:rPr>
      </w:pPr>
    </w:p>
    <w:p w14:paraId="4DFD51E5" w14:textId="77777777" w:rsidR="00423715" w:rsidRDefault="00423715" w:rsidP="00423715">
      <w:pPr>
        <w:spacing w:line="276" w:lineRule="auto"/>
        <w:ind w:left="-567"/>
        <w:rPr>
          <w:rFonts w:ascii="Acumin Pro" w:hAnsi="Acumin Pro"/>
          <w:sz w:val="22"/>
          <w:szCs w:val="22"/>
        </w:rPr>
      </w:pPr>
    </w:p>
    <w:p w14:paraId="77C91C13" w14:textId="77777777" w:rsidR="00890707" w:rsidRDefault="00890707" w:rsidP="00423715">
      <w:pPr>
        <w:spacing w:line="276" w:lineRule="auto"/>
        <w:ind w:left="-567"/>
        <w:rPr>
          <w:rFonts w:ascii="Acumin Pro" w:hAnsi="Acumin Pro"/>
          <w:sz w:val="22"/>
          <w:szCs w:val="22"/>
        </w:rPr>
      </w:pPr>
    </w:p>
    <w:p w14:paraId="0A3B9A6F" w14:textId="0CEF0386" w:rsidR="00423715" w:rsidRPr="00491622" w:rsidRDefault="00423715" w:rsidP="00423715">
      <w:pPr>
        <w:spacing w:line="276" w:lineRule="auto"/>
        <w:ind w:left="-567"/>
        <w:rPr>
          <w:rFonts w:ascii="Acumin Pro" w:hAnsi="Acumin Pro"/>
          <w:sz w:val="22"/>
          <w:szCs w:val="22"/>
        </w:rPr>
      </w:pPr>
      <w:r>
        <w:rPr>
          <w:rFonts w:ascii="Acumin Pro" w:hAnsi="Acumin Pro"/>
          <w:sz w:val="22"/>
        </w:rPr>
        <w:t>GCSB, Yeni Zelanda Güvenlik İstihbarat Servisi (NZSIS) ile yakın bir şekilde çalışmaktadır. NZSIS, Yeni Zelanda'nın demokrasisini, yabancı müdahale tehditlerini ve tüm insanların özgürce yaşama ve konuşma hakkını korumak da dahil olmak üzere Yeni Zelanda'nın ulusal güvenliğine yönelik tehditleri araştırır. </w:t>
      </w:r>
    </w:p>
    <w:p w14:paraId="2BA03871"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GCSB'nin her zaman Yeni Zelanda yasalarına ve insan hakları yükümlülüklerine uygun hareket etmesini sağlayan birçok güvence bulunmaktadır. </w:t>
      </w:r>
    </w:p>
    <w:p w14:paraId="3CA20FA8"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GCSB, Yeni Zelanda'yı özgür, açık ve demokratik bir toplum olarak koruyan bir yasa olan 2017 İstihbarat ve Güvenlik Yasası kapsamında görevlerini yürütmektedir.  </w:t>
      </w:r>
    </w:p>
    <w:p w14:paraId="303F7A3F" w14:textId="77777777" w:rsidR="00423715" w:rsidRPr="00491622" w:rsidRDefault="00423715" w:rsidP="009F442B">
      <w:pPr>
        <w:spacing w:line="276" w:lineRule="auto"/>
        <w:ind w:left="-567" w:right="-142"/>
        <w:rPr>
          <w:rFonts w:ascii="Acumin Pro" w:hAnsi="Acumin Pro"/>
          <w:sz w:val="22"/>
          <w:szCs w:val="22"/>
        </w:rPr>
      </w:pPr>
      <w:r>
        <w:rPr>
          <w:rFonts w:ascii="Acumin Pro" w:hAnsi="Acumin Pro"/>
          <w:sz w:val="22"/>
        </w:rPr>
        <w:t>GCSB bir kamu hizmeti dairesidir ve tüm devlet kurumları gibi Ombudsman'a, Gizlilik Komiserine, Sayıştay Ofisi'ne ve Kamu Hizmeti Komisyonu'na karşı sorumludur.</w:t>
      </w:r>
      <w:r w:rsidRPr="00491622">
        <w:rPr>
          <w:rFonts w:ascii="Arial" w:hAnsi="Arial"/>
          <w:sz w:val="22"/>
          <w:szCs w:val="22"/>
        </w:rPr>
        <w:t> </w:t>
      </w:r>
      <w:r>
        <w:rPr>
          <w:rFonts w:ascii="Acumin Pro" w:hAnsi="Acumin Pro"/>
          <w:sz w:val="22"/>
        </w:rPr>
        <w:t xml:space="preserve"> GCSB ayrıca İstihbarat ve Güvenlik Genel Müfettişliği'nin sıkı ve bağımsız denetimine tabidir.</w:t>
      </w:r>
      <w:r w:rsidRPr="00491622">
        <w:rPr>
          <w:rFonts w:ascii="Arial" w:hAnsi="Arial"/>
          <w:sz w:val="22"/>
          <w:szCs w:val="22"/>
        </w:rPr>
        <w:t> </w:t>
      </w:r>
      <w:r>
        <w:rPr>
          <w:rFonts w:ascii="Acumin Pro" w:hAnsi="Acumin Pro"/>
          <w:sz w:val="22"/>
        </w:rPr>
        <w:t xml:space="preserve"> Genel Müfettiş, istihbarat teşkilatlarına yönelik şikâyetleri inceler, inceleme ve soruşturma yaparak, bunların hukuka ve usule uygun hareket edip etmediklerini denetler. GCSB aynı zamanda Yeni Zelanda Parlamentosu'na ve Bakanlara karşı da sorumludur.  </w:t>
      </w:r>
    </w:p>
    <w:p w14:paraId="36C16F19" w14:textId="5015D92C" w:rsidR="009F442B" w:rsidRDefault="00423715" w:rsidP="00127352">
      <w:pPr>
        <w:spacing w:line="276" w:lineRule="auto"/>
        <w:ind w:left="-567"/>
        <w:rPr>
          <w:rFonts w:ascii="Acumin Pro" w:hAnsi="Acumin Pro"/>
          <w:sz w:val="22"/>
        </w:rPr>
      </w:pPr>
      <w:r>
        <w:rPr>
          <w:rFonts w:ascii="Acumin Pro" w:hAnsi="Acumin Pro"/>
          <w:sz w:val="22"/>
        </w:rPr>
        <w:t>GCSB'de yaklaşık 600 personel çalışmaktadır. Bu kişiler Yeni</w:t>
      </w:r>
      <w:r w:rsidRPr="00491622">
        <w:rPr>
          <w:rFonts w:ascii="Arial" w:hAnsi="Arial"/>
          <w:sz w:val="22"/>
          <w:szCs w:val="22"/>
        </w:rPr>
        <w:t> </w:t>
      </w:r>
      <w:r>
        <w:rPr>
          <w:rFonts w:ascii="Acumin Pro" w:hAnsi="Acumin Pro"/>
          <w:sz w:val="22"/>
        </w:rPr>
        <w:t xml:space="preserve">Zelanda toplumunun her kesiminden gelirler ve çeşitli rollerde çalışırlar. GCSB'nin, çalışmaları hakkında daha fazla bilgi veren kamuya açık web sitesi </w:t>
      </w:r>
      <w:hyperlink r:id="rId31" w:tgtFrame="_blank" w:history="1">
        <w:r>
          <w:rPr>
            <w:rStyle w:val="Hyperlink"/>
            <w:rFonts w:ascii="Acumin Pro" w:hAnsi="Acumin Pro"/>
            <w:sz w:val="22"/>
          </w:rPr>
          <w:t>www.gcsb.govt.nz adresinde</w:t>
        </w:r>
      </w:hyperlink>
      <w:r>
        <w:rPr>
          <w:rFonts w:ascii="Acumin Pro" w:hAnsi="Acumin Pro"/>
          <w:sz w:val="22"/>
        </w:rPr>
        <w:t xml:space="preserve"> bulunmaktadır</w:t>
      </w:r>
      <w:bookmarkEnd w:id="2"/>
      <w:r>
        <w:rPr>
          <w:rFonts w:ascii="Acumin Pro" w:hAnsi="Acumin Pro"/>
          <w:sz w:val="22"/>
        </w:rPr>
        <w:t>. </w:t>
      </w:r>
      <w:r w:rsidR="009F442B">
        <w:rPr>
          <w:rFonts w:ascii="Acumin Pro" w:hAnsi="Acumin Pro"/>
          <w:sz w:val="22"/>
        </w:rPr>
        <w:br w:type="page"/>
      </w:r>
    </w:p>
    <w:p w14:paraId="4930C8D0" w14:textId="77777777" w:rsidR="00423715" w:rsidRDefault="00423715" w:rsidP="00423715">
      <w:pPr>
        <w:spacing w:line="276" w:lineRule="auto"/>
        <w:ind w:left="-567"/>
        <w:rPr>
          <w:rFonts w:ascii="Acumin Pro" w:hAnsi="Acumin Pro"/>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0465F16C" w14:textId="4A3DF979" w:rsidR="00423715" w:rsidRDefault="009F442B" w:rsidP="00423715">
      <w:pPr>
        <w:spacing w:line="276" w:lineRule="auto"/>
        <w:rPr>
          <w:rFonts w:ascii="Acumin Pro" w:hAnsi="Acumin Pro" w:cs="Arial"/>
          <w:b/>
          <w:bCs/>
          <w:color w:val="00908B"/>
          <w:kern w:val="32"/>
          <w:sz w:val="32"/>
          <w:szCs w:val="32"/>
        </w:rPr>
      </w:pPr>
      <w:r>
        <w:rPr>
          <w:noProof/>
        </w:rPr>
        <w:lastRenderedPageBreak/>
        <mc:AlternateContent>
          <mc:Choice Requires="wps">
            <w:drawing>
              <wp:anchor distT="0" distB="0" distL="114300" distR="114300" simplePos="0" relativeHeight="251658250" behindDoc="1" locked="0" layoutInCell="1" allowOverlap="1" wp14:anchorId="2447C860" wp14:editId="2D96B37C">
                <wp:simplePos x="0" y="0"/>
                <wp:positionH relativeFrom="margin">
                  <wp:posOffset>-572770</wp:posOffset>
                </wp:positionH>
                <wp:positionV relativeFrom="paragraph">
                  <wp:posOffset>-439372</wp:posOffset>
                </wp:positionV>
                <wp:extent cx="6685430" cy="8877300"/>
                <wp:effectExtent l="38100" t="38100" r="39370" b="3810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430" cy="8877300"/>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margin-left:-45.1pt;margin-top:-34.6pt;width:526.4pt;height:699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430,8877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" adj="-11796480,,5400" path="m864292,l6685430,r,l6685430,8013008v,477335,-386957,864292,-864292,864292l,8877300r,l,864292c,386957,386957,,864292,xe" filled="f" strokecolor="#3a1335" strokeweight="6pt">
                <v:stroke joinstyle="miter"/>
                <v:formulas/>
                <v:path arrowok="t" o:connecttype="custom" o:connectlocs="864292,0;6685430,0;6685430,0;6685430,8013008;5821138,8877300;0,8877300;0,8877300;0,864292;864292,0" o:connectangles="0,0,0,0,0,0,0,0,0" textboxrect="0,0,6685430,8877300"/>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91704">
        <w:rPr>
          <w:noProof/>
          <w:color w:val="3A1335"/>
          <w:sz w:val="32"/>
          <w:szCs w:val="32"/>
        </w:rPr>
        <w:drawing>
          <wp:anchor distT="0" distB="0" distL="114300" distR="114300" simplePos="0" relativeHeight="251658240" behindDoc="1" locked="0" layoutInCell="1" allowOverlap="1" wp14:anchorId="2EBCF106" wp14:editId="0A8E0DB3">
            <wp:simplePos x="0" y="0"/>
            <wp:positionH relativeFrom="column">
              <wp:posOffset>-568325</wp:posOffset>
            </wp:positionH>
            <wp:positionV relativeFrom="paragraph">
              <wp:posOffset>-309148</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3BB9A" w14:textId="677E280D" w:rsidR="00423715" w:rsidRDefault="00423715" w:rsidP="009F442B">
      <w:pPr>
        <w:spacing w:line="276" w:lineRule="auto"/>
        <w:rPr>
          <w:rFonts w:ascii="Acumin Pro" w:hAnsi="Acumin Pro" w:cs="Arial"/>
          <w:b/>
          <w:bCs/>
          <w:color w:val="00908B"/>
          <w:kern w:val="32"/>
          <w:sz w:val="32"/>
          <w:szCs w:val="32"/>
        </w:rPr>
      </w:pPr>
    </w:p>
    <w:p w14:paraId="1D9005C3" w14:textId="77777777" w:rsidR="00423715" w:rsidRDefault="00423715" w:rsidP="00423715">
      <w:pPr>
        <w:ind w:left="-426"/>
        <w:rPr>
          <w:rFonts w:ascii="Acumin Pro" w:hAnsi="Acumin Pro" w:cstheme="minorHAnsi"/>
          <w:sz w:val="22"/>
          <w:szCs w:val="22"/>
        </w:rPr>
      </w:pPr>
      <w:bookmarkStart w:id="3" w:name="_Hlk199170008"/>
    </w:p>
    <w:p w14:paraId="0430DAFD" w14:textId="77777777" w:rsidR="00FB56B0" w:rsidRDefault="00FB56B0" w:rsidP="00423715">
      <w:pPr>
        <w:ind w:left="-426"/>
        <w:rPr>
          <w:rFonts w:ascii="Acumin Pro" w:hAnsi="Acumin Pro" w:cstheme="minorHAnsi"/>
          <w:sz w:val="22"/>
          <w:szCs w:val="22"/>
        </w:rPr>
        <w:sectPr w:rsidR="00FB56B0" w:rsidSect="00423715">
          <w:type w:val="continuous"/>
          <w:pgSz w:w="11907" w:h="16840" w:code="9"/>
          <w:pgMar w:top="1418" w:right="1418" w:bottom="992" w:left="1701" w:header="425" w:footer="635" w:gutter="0"/>
          <w:cols w:space="1134"/>
          <w:titlePg/>
          <w:docGrid w:linePitch="360"/>
        </w:sectPr>
      </w:pPr>
    </w:p>
    <w:p w14:paraId="614DDFCB" w14:textId="47710F3B" w:rsidR="00423715" w:rsidRPr="00D42655" w:rsidRDefault="00423715" w:rsidP="00FB56B0">
      <w:pPr>
        <w:ind w:left="-426"/>
        <w:rPr>
          <w:rFonts w:ascii="Acumin Pro" w:hAnsi="Acumin Pro" w:cstheme="minorHAnsi"/>
          <w:sz w:val="22"/>
          <w:szCs w:val="22"/>
        </w:rPr>
      </w:pPr>
      <w:r>
        <w:rPr>
          <w:rFonts w:ascii="Acumin Pro" w:hAnsi="Acumin Pro"/>
          <w:sz w:val="22"/>
        </w:rPr>
        <w:t>Te Kāhui Tika Tangata İnsan Hakları Komisyonu, Yeni Zelanda'nın ulusal insan hakları kurumudur (NHRI). “He whakamana tangata. Herkes için onurlu bir yaşam" sloganımızdır ve bunu tüm Yeni Zelandalıların insan haklarını koruyarak ve güçlendirerek ve Te Tiriti o Waitangi'nin yaptığımız her şeye entegre edilmesini sağlayarak somutlaştırıyoruz.</w:t>
      </w:r>
    </w:p>
    <w:p w14:paraId="038F5E51" w14:textId="0AB21E0B" w:rsidR="00423715" w:rsidRPr="00D42655" w:rsidRDefault="00423715" w:rsidP="00890707">
      <w:pPr>
        <w:ind w:left="-425"/>
        <w:rPr>
          <w:rFonts w:ascii="Acumin Pro" w:hAnsi="Acumin Pro" w:cstheme="minorHAnsi"/>
          <w:sz w:val="22"/>
          <w:szCs w:val="22"/>
        </w:rPr>
      </w:pPr>
      <w:r>
        <w:rPr>
          <w:rFonts w:ascii="Acumin Pro" w:hAnsi="Acumin Pro"/>
          <w:sz w:val="22"/>
        </w:rPr>
        <w:t>İnsan Hakları Komisyonu'nun Auckland, Wellington ve Christchurch'te bulunan dört komisyon üyesi, bir Yerli Hakları Yönetim Ortağı ve yaklaşık 60 personeli bulunmaktadır.</w:t>
      </w:r>
    </w:p>
    <w:p w14:paraId="2E220EA9" w14:textId="3F7C94E4" w:rsidR="00423715" w:rsidRPr="00D42655" w:rsidRDefault="00423715" w:rsidP="00890707">
      <w:pPr>
        <w:ind w:left="-425"/>
        <w:rPr>
          <w:rFonts w:ascii="Acumin Pro" w:eastAsia="Aptos" w:hAnsi="Acumin Pro" w:cstheme="minorHAnsi"/>
          <w:sz w:val="22"/>
          <w:szCs w:val="22"/>
        </w:rPr>
      </w:pPr>
      <w:r>
        <w:rPr>
          <w:rFonts w:ascii="Acumin Pro" w:hAnsi="Acumin Pro"/>
          <w:sz w:val="22"/>
        </w:rPr>
        <w:t xml:space="preserve">İnsan haklarını birçok şekilde destekliyor ve koruyoruz.  Bunlardan biri de, </w:t>
      </w:r>
      <w:r w:rsidR="007B2118">
        <w:rPr>
          <w:rFonts w:ascii="Acumin Pro" w:hAnsi="Acumin Pro"/>
          <w:sz w:val="22"/>
        </w:rPr>
        <w:t xml:space="preserve">1993 </w:t>
      </w:r>
      <w:r>
        <w:rPr>
          <w:rFonts w:ascii="Acumin Pro" w:hAnsi="Acumin Pro"/>
          <w:sz w:val="22"/>
        </w:rPr>
        <w:t>İnsan Hakları Yasası kapsamındaki hukuka aykırı ayrımcılıkla ilgili şikâyetlerin kamuoyuna iletilmesine yardımcı olmak amacıyla sunduğumuz ücretsiz ve gizli hizmetlerimizdir.</w:t>
      </w:r>
    </w:p>
    <w:p w14:paraId="6B993CF0" w14:textId="77777777" w:rsidR="00423715" w:rsidRDefault="00423715" w:rsidP="00890707">
      <w:pPr>
        <w:ind w:left="-425"/>
        <w:rPr>
          <w:rFonts w:ascii="Acumin Pro" w:eastAsia="Aptos" w:hAnsi="Acumin Pro" w:cstheme="minorHAnsi"/>
          <w:sz w:val="22"/>
          <w:szCs w:val="22"/>
        </w:rPr>
      </w:pPr>
      <w:r>
        <w:rPr>
          <w:rFonts w:ascii="Acumin Pro" w:hAnsi="Acumin Pro"/>
          <w:sz w:val="22"/>
        </w:rPr>
        <w:t xml:space="preserve">Dava danışmanlarımız ve arabulucularımız, bilgi sağlamak, erken çözüm olasılıklarını desteklemek ve uyuşmazlık çözüm hizmetleri sunmak için kişilerle birlikte çalışırlar. Hizmetlerimiz ücretsiz ve gizlidir. Şikayetleri araştırmayız veya kanunun ihlal edilip edilmediğini tespit etmeyiz. </w:t>
      </w:r>
    </w:p>
    <w:p w14:paraId="728418C1" w14:textId="77777777" w:rsidR="00890707" w:rsidRDefault="00890707" w:rsidP="00890707">
      <w:pPr>
        <w:ind w:left="-425"/>
        <w:rPr>
          <w:rFonts w:ascii="Acumin Pro" w:eastAsia="Aptos" w:hAnsi="Acumin Pro" w:cstheme="minorHAnsi"/>
          <w:sz w:val="22"/>
          <w:szCs w:val="22"/>
        </w:rPr>
      </w:pPr>
    </w:p>
    <w:p w14:paraId="70C3B154" w14:textId="469869DD" w:rsidR="00423715" w:rsidRPr="00D42655" w:rsidRDefault="00423715" w:rsidP="00890707">
      <w:pPr>
        <w:ind w:left="-426"/>
        <w:rPr>
          <w:rFonts w:ascii="Acumin Pro" w:eastAsia="Aptos" w:hAnsi="Acumin Pro" w:cstheme="minorHAnsi"/>
          <w:sz w:val="22"/>
          <w:szCs w:val="22"/>
        </w:rPr>
      </w:pPr>
      <w:r>
        <w:rPr>
          <w:rFonts w:ascii="Acumin Pro" w:hAnsi="Acumin Pro"/>
          <w:sz w:val="22"/>
        </w:rPr>
        <w:t xml:space="preserve">Irkınız, dininiz, cinsiyetiniz, cinsiyet ifadeniz, cinsel yöneliminiz, engelliliğiniz veya başka bir kişisel özelliğiniz nedeniyle ayrımcılığa uğradığınızı düşünüyorsanız şikayette bulunabilirsiniz. </w:t>
      </w:r>
    </w:p>
    <w:p w14:paraId="1E76E452" w14:textId="77777777" w:rsidR="00423715" w:rsidRPr="00D42655" w:rsidRDefault="00423715" w:rsidP="00890707">
      <w:pPr>
        <w:ind w:left="-426"/>
        <w:rPr>
          <w:rFonts w:ascii="Acumin Pro" w:eastAsia="Aptos" w:hAnsi="Acumin Pro" w:cstheme="minorHAnsi"/>
          <w:sz w:val="22"/>
          <w:szCs w:val="22"/>
        </w:rPr>
      </w:pPr>
      <w:r>
        <w:rPr>
          <w:rFonts w:ascii="Acumin Pro" w:hAnsi="Acumin Pro"/>
          <w:sz w:val="22"/>
        </w:rPr>
        <w:t xml:space="preserve">Cinsel tacize, istenmeyen cinsel davranışlara maruz kaldıysanız veya birileri cinsel yöneliminizi veya cinsiyet ifadenizi değiştirmeye çalışıyorsa da şikayette bulunabilirsiniz. </w:t>
      </w:r>
    </w:p>
    <w:p w14:paraId="5221DA8E" w14:textId="1CBB0486" w:rsidR="00423715" w:rsidRPr="00D42655" w:rsidRDefault="00423715" w:rsidP="00890707">
      <w:pPr>
        <w:ind w:left="-426"/>
        <w:rPr>
          <w:rFonts w:ascii="Acumin Pro" w:eastAsia="Aptos" w:hAnsi="Acumin Pro" w:cstheme="minorBidi"/>
          <w:sz w:val="22"/>
          <w:szCs w:val="22"/>
        </w:rPr>
      </w:pPr>
      <w:r>
        <w:rPr>
          <w:rFonts w:ascii="Acumin Pro" w:hAnsi="Acumin Pro"/>
          <w:sz w:val="22"/>
        </w:rPr>
        <w:t xml:space="preserve">Ayrımcılık, bir işveren, bir esnaf, bir öğretmen gibi bir bireyden veya bir restoran veya kamu kuruluşu gibi bir kuruluş veya hizmetten kaynaklanabilir. </w:t>
      </w:r>
    </w:p>
    <w:p w14:paraId="77CA5F56" w14:textId="2968BD0E" w:rsidR="00423715" w:rsidRPr="00D42655" w:rsidRDefault="00423715" w:rsidP="00890707">
      <w:pPr>
        <w:ind w:left="-426"/>
        <w:rPr>
          <w:rFonts w:ascii="Acumin Pro" w:hAnsi="Acumin Pro" w:cstheme="minorHAnsi"/>
          <w:sz w:val="22"/>
          <w:szCs w:val="22"/>
        </w:rPr>
      </w:pPr>
      <w:r>
        <w:rPr>
          <w:rFonts w:ascii="Acumin Pro" w:hAnsi="Acumin Pro"/>
          <w:sz w:val="22"/>
        </w:rPr>
        <w:t xml:space="preserve">İnsan Hakları Komisyonu'na şikayette bulunmak ücretsiz ve gizlidir. Şikayette bulunma hakkında daha fazla bilgi edinmek için </w:t>
      </w:r>
      <w:hyperlink r:id="rId33">
        <w:r>
          <w:rPr>
            <w:rStyle w:val="Hyperlink"/>
            <w:rFonts w:ascii="Acumin Pro" w:hAnsi="Acumin Pro"/>
            <w:sz w:val="22"/>
          </w:rPr>
          <w:t>tikatangata.org.nz</w:t>
        </w:r>
      </w:hyperlink>
      <w:r w:rsidR="007B2118">
        <w:t xml:space="preserve"> </w:t>
      </w:r>
      <w:r>
        <w:rPr>
          <w:rFonts w:ascii="Acumin Pro" w:hAnsi="Acumin Pro"/>
          <w:sz w:val="22"/>
        </w:rPr>
        <w:t>adresindeki web sitemizi ziyaret edin.</w:t>
      </w:r>
    </w:p>
    <w:p w14:paraId="29B859B5" w14:textId="57E0552E" w:rsidR="00423715" w:rsidRPr="00D42655" w:rsidRDefault="00423715" w:rsidP="00890707">
      <w:pPr>
        <w:ind w:left="-426"/>
        <w:rPr>
          <w:rFonts w:ascii="Acumin Pro" w:eastAsia="Aptos" w:hAnsi="Acumin Pro" w:cstheme="minorHAnsi"/>
          <w:sz w:val="22"/>
          <w:szCs w:val="22"/>
        </w:rPr>
      </w:pPr>
      <w:hyperlink r:id="rId34">
        <w:r>
          <w:rPr>
            <w:rStyle w:val="Hyperlink"/>
            <w:rFonts w:ascii="Acumin Pro" w:hAnsi="Acumin Pro"/>
            <w:sz w:val="22"/>
          </w:rPr>
          <w:t>Bilgi</w:t>
        </w:r>
      </w:hyperlink>
      <w:r>
        <w:rPr>
          <w:rFonts w:ascii="Acumin Pro" w:hAnsi="Acumin Pro"/>
          <w:sz w:val="22"/>
        </w:rPr>
        <w:t xml:space="preserve"> te reo Māori, Samoa, Tonga, Geleneksel Çince, Vasitleştirilmiş Çince ve Hintçe dillerinde, ayrıca Easy Read, Braille dosyası, büyük puntolu ve işitsel formatlarında mevcuttur.</w:t>
      </w:r>
    </w:p>
    <w:p w14:paraId="20564B26" w14:textId="7800D402" w:rsidR="00423715" w:rsidRDefault="00423715" w:rsidP="00890707">
      <w:pPr>
        <w:ind w:left="-426"/>
        <w:rPr>
          <w:rFonts w:ascii="Acumin Pro" w:hAnsi="Acumin Pro" w:cstheme="minorBidi"/>
          <w:sz w:val="22"/>
          <w:szCs w:val="22"/>
        </w:rPr>
        <w:sectPr w:rsidR="00423715" w:rsidSect="00015922">
          <w:type w:val="continuous"/>
          <w:pgSz w:w="11907" w:h="16840" w:code="9"/>
          <w:pgMar w:top="1418" w:right="1418" w:bottom="992" w:left="1701" w:header="425" w:footer="635" w:gutter="0"/>
          <w:cols w:num="2" w:space="850"/>
          <w:titlePg/>
          <w:docGrid w:linePitch="360"/>
        </w:sectPr>
      </w:pPr>
      <w:r>
        <w:rPr>
          <w:rFonts w:ascii="Acumin Pro" w:hAnsi="Acumin Pro"/>
          <w:sz w:val="22"/>
        </w:rPr>
        <w:t xml:space="preserve">He whakamana tangata. </w:t>
      </w:r>
      <w:r>
        <w:rPr>
          <w:rFonts w:ascii="Acumin Pro" w:hAnsi="Acumin Pro"/>
          <w:sz w:val="22"/>
          <w:szCs w:val="22"/>
        </w:rPr>
        <w:br/>
      </w:r>
      <w:r>
        <w:rPr>
          <w:rFonts w:ascii="Acumin Pro" w:hAnsi="Acumin Pro"/>
          <w:sz w:val="22"/>
        </w:rPr>
        <w:t>Herkes için onurlu bir yaşam</w:t>
      </w:r>
    </w:p>
    <w:p w14:paraId="34D51B3E" w14:textId="4B66899A" w:rsidR="00423715" w:rsidRDefault="00423715" w:rsidP="00423715">
      <w:pPr>
        <w:rPr>
          <w:rFonts w:ascii="Acumin Pro" w:eastAsia="Calibri" w:hAnsi="Acumin Pro" w:cstheme="minorHAnsi"/>
          <w:sz w:val="22"/>
          <w:szCs w:val="22"/>
        </w:rPr>
      </w:pPr>
    </w:p>
    <w:p w14:paraId="4FF91403" w14:textId="77777777" w:rsidR="00890707" w:rsidRDefault="00890707" w:rsidP="00423715">
      <w:pPr>
        <w:rPr>
          <w:rFonts w:ascii="Acumin Pro" w:eastAsia="Calibri" w:hAnsi="Acumin Pro" w:cstheme="minorHAnsi"/>
          <w:sz w:val="22"/>
          <w:szCs w:val="22"/>
        </w:rPr>
      </w:pPr>
    </w:p>
    <w:p w14:paraId="6854F86D" w14:textId="77777777" w:rsidR="00FB56B0" w:rsidRDefault="00FB56B0" w:rsidP="00423715">
      <w:pPr>
        <w:rPr>
          <w:rFonts w:ascii="Acumin Pro" w:eastAsia="Calibri" w:hAnsi="Acumin Pro" w:cstheme="minorHAnsi"/>
          <w:sz w:val="22"/>
          <w:szCs w:val="22"/>
        </w:rPr>
      </w:pPr>
    </w:p>
    <w:p w14:paraId="53C7F81F" w14:textId="60222FC8" w:rsidR="009F442B" w:rsidRDefault="009F442B">
      <w:pPr>
        <w:keepLines w:val="0"/>
        <w:rPr>
          <w:rFonts w:ascii="Acumin Pro" w:eastAsia="Calibri" w:hAnsi="Acumin Pro" w:cstheme="minorHAnsi"/>
          <w:sz w:val="22"/>
          <w:szCs w:val="22"/>
        </w:rPr>
      </w:pPr>
      <w:bookmarkStart w:id="4" w:name="_Hlk199169967"/>
      <w:r>
        <w:rPr>
          <w:rFonts w:ascii="Acumin Pro" w:eastAsia="Calibri" w:hAnsi="Acumin Pro" w:cstheme="minorHAnsi"/>
          <w:sz w:val="22"/>
          <w:szCs w:val="22"/>
        </w:rPr>
        <w:br w:type="page"/>
      </w:r>
    </w:p>
    <w:p w14:paraId="1A8FE619" w14:textId="4A7C9BC5" w:rsidR="00890707" w:rsidRDefault="009F442B" w:rsidP="00423715">
      <w:pPr>
        <w:ind w:left="-567"/>
        <w:rPr>
          <w:rFonts w:ascii="Acumin Pro" w:eastAsia="Calibri" w:hAnsi="Acumin Pro" w:cstheme="minorHAnsi"/>
          <w:sz w:val="22"/>
          <w:szCs w:val="22"/>
        </w:rPr>
      </w:pPr>
      <w:r>
        <w:rPr>
          <w:noProof/>
        </w:rPr>
        <w:lastRenderedPageBreak/>
        <mc:AlternateContent>
          <mc:Choice Requires="wps">
            <w:drawing>
              <wp:anchor distT="0" distB="0" distL="114300" distR="114300" simplePos="0" relativeHeight="251658245" behindDoc="1" locked="0" layoutInCell="1" allowOverlap="1" wp14:anchorId="76BEC269" wp14:editId="74B7E89B">
                <wp:simplePos x="0" y="0"/>
                <wp:positionH relativeFrom="page">
                  <wp:posOffset>397510</wp:posOffset>
                </wp:positionH>
                <wp:positionV relativeFrom="paragraph">
                  <wp:posOffset>-457298</wp:posOffset>
                </wp:positionV>
                <wp:extent cx="6832600" cy="8867531"/>
                <wp:effectExtent l="38100" t="38100" r="38100" b="35560"/>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8867531"/>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left:0;text-align:left;margin-left:31.3pt;margin-top:-36pt;width:538pt;height:698.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88675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" adj="-11796480,,5400" path="m910171,l6832600,r,l6832600,7957360v,502674,-407497,910171,-910171,910171l,8867531r,l,910171c,407497,407497,,910171,xe" filled="f" strokecolor="#3a1335" strokeweight="6pt">
                <v:stroke joinstyle="miter"/>
                <v:formulas/>
                <v:path arrowok="t" o:connecttype="custom" o:connectlocs="910171,0;6832600,0;6832600,0;6832600,7957360;5922429,8867531;0,8867531;0,8867531;0,910171;910171,0" o:connectangles="0,0,0,0,0,0,0,0,0" textboxrect="0,0,6832600,8867531"/>
                <v:textbo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r>
        <w:rPr>
          <w:rStyle w:val="Heading1Char"/>
          <w:rFonts w:ascii="Acumin Pro" w:hAnsi="Acumin Pro"/>
          <w:noProof/>
          <w:color w:val="00908B"/>
          <w:sz w:val="54"/>
          <w:szCs w:val="54"/>
        </w:rPr>
        <w:drawing>
          <wp:anchor distT="0" distB="0" distL="114300" distR="114300" simplePos="0" relativeHeight="251662349" behindDoc="0" locked="0" layoutInCell="1" allowOverlap="1" wp14:anchorId="1CA50AF9" wp14:editId="542D42A1">
            <wp:simplePos x="0" y="0"/>
            <wp:positionH relativeFrom="column">
              <wp:posOffset>-334010</wp:posOffset>
            </wp:positionH>
            <wp:positionV relativeFrom="paragraph">
              <wp:posOffset>21101</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0E9334" w14:textId="7111948B" w:rsidR="00890707" w:rsidRDefault="00890707" w:rsidP="00423715">
      <w:pPr>
        <w:ind w:left="-567"/>
        <w:rPr>
          <w:rFonts w:ascii="Acumin Pro" w:eastAsia="Calibri" w:hAnsi="Acumin Pro" w:cstheme="minorHAnsi"/>
          <w:sz w:val="22"/>
          <w:szCs w:val="22"/>
        </w:rPr>
      </w:pPr>
    </w:p>
    <w:p w14:paraId="308EDB68" w14:textId="77777777" w:rsidR="00FB56B0" w:rsidRDefault="00FB56B0" w:rsidP="009F442B">
      <w:pPr>
        <w:rPr>
          <w:rFonts w:ascii="Acumin Pro" w:eastAsia="Calibri" w:hAnsi="Acumin Pro" w:cstheme="minorHAnsi"/>
          <w:sz w:val="22"/>
          <w:szCs w:val="22"/>
        </w:rPr>
      </w:pPr>
    </w:p>
    <w:p w14:paraId="272589F5" w14:textId="77777777" w:rsidR="00FB56B0" w:rsidRDefault="00FB56B0" w:rsidP="00FB56B0">
      <w:pPr>
        <w:ind w:left="-567"/>
        <w:rPr>
          <w:rFonts w:ascii="Acumin Pro" w:eastAsia="Calibri" w:hAnsi="Acumin Pro" w:cstheme="minorHAnsi"/>
          <w:sz w:val="22"/>
          <w:szCs w:val="22"/>
        </w:rPr>
      </w:pPr>
    </w:p>
    <w:p w14:paraId="6ABB9AFE" w14:textId="77777777" w:rsidR="00FB56B0" w:rsidRDefault="00FB56B0" w:rsidP="00FB56B0">
      <w:pPr>
        <w:ind w:left="-567"/>
        <w:rPr>
          <w:rFonts w:ascii="Acumin Pro" w:eastAsia="Calibri" w:hAnsi="Acumin Pro" w:cstheme="minorHAnsi"/>
          <w:sz w:val="22"/>
          <w:szCs w:val="22"/>
        </w:rPr>
        <w:sectPr w:rsidR="00FB56B0" w:rsidSect="00FB56B0">
          <w:type w:val="continuous"/>
          <w:pgSz w:w="11907" w:h="16840" w:code="9"/>
          <w:pgMar w:top="1418" w:right="1418" w:bottom="992" w:left="1701" w:header="425" w:footer="635" w:gutter="0"/>
          <w:cols w:space="1134"/>
          <w:titlePg/>
          <w:docGrid w:linePitch="360"/>
        </w:sectPr>
      </w:pPr>
    </w:p>
    <w:p w14:paraId="4B59ADFC" w14:textId="5956DB2D" w:rsidR="00423715" w:rsidRPr="00491622" w:rsidRDefault="00423715" w:rsidP="00FB56B0">
      <w:pPr>
        <w:ind w:left="-567"/>
        <w:rPr>
          <w:rFonts w:ascii="Acumin Pro" w:eastAsia="Calibri" w:hAnsi="Acumin Pro" w:cstheme="minorHAnsi"/>
          <w:sz w:val="22"/>
          <w:szCs w:val="22"/>
        </w:rPr>
      </w:pPr>
      <w:r>
        <w:rPr>
          <w:rFonts w:ascii="Acumin Pro" w:hAnsi="Acumin Pro"/>
          <w:sz w:val="22"/>
        </w:rPr>
        <w:t xml:space="preserve">Ombudsman, insanların merkezi hükümet ve yerel hükümetler de dahil olmak üzere devlet kurumlarıyla sorun yaşamaları durumunda yardımcı olabilir. Örneğin, Sosyal Kalkınma Bakanlığı, Yeni Zelanda Göçmenlik Dairesi, çocuğunuzun okulu ve yerel meclisiniz. </w:t>
      </w:r>
    </w:p>
    <w:p w14:paraId="4A747569"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Ombudsman’a başvuru veya şikâyette bulunmak herkese açık ve ücretsizdir.</w:t>
      </w:r>
    </w:p>
    <w:p w14:paraId="70C92751"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Bir devlet kurumunun sizi mutsuz eden, haksız, mantıksız veya yanlış olduğunu düşündüğünüz hareketler veya kararlar aldığını düşünüyorsanız Ombudsman'a şikayette bulunabilirsiniz. Şikayetiniz titizlikle değerlendirilecektir. Ombudsman sizden öncelikle kuruma şikayette bulunmanızı isteyebilir ve bunu nasıl yapacağınız konusunda tavsiyelerde bulunabilir. Ombudsman, endişelerinizi dile getirmenin başka yolları olup olmadığını size söyleyebilir. Ombudsman ayrıca şikayetinizin çözümlenmesine veya soruşturulmasına da yardımcı olabilir. </w:t>
      </w:r>
    </w:p>
    <w:p w14:paraId="2AF75BE1" w14:textId="662A3C84" w:rsidR="00890707" w:rsidRDefault="00423715" w:rsidP="00FB56B0">
      <w:pPr>
        <w:ind w:left="-567"/>
        <w:rPr>
          <w:rFonts w:ascii="Acumin Pro" w:eastAsia="Calibri" w:hAnsi="Acumin Pro" w:cstheme="minorHAnsi"/>
          <w:sz w:val="22"/>
          <w:szCs w:val="22"/>
        </w:rPr>
      </w:pPr>
      <w:r>
        <w:rPr>
          <w:rFonts w:ascii="Acumin Pro" w:hAnsi="Acumin Pro"/>
          <w:sz w:val="22"/>
        </w:rPr>
        <w:t xml:space="preserve">Ayrıca, bir devlet kurumu size bilgi vermeyi reddederse Ombudsman'a şikayette bulunabilirsiniz. </w:t>
      </w:r>
    </w:p>
    <w:p w14:paraId="53A9D0E6" w14:textId="6E8C90B1" w:rsidR="00423715" w:rsidRPr="00491622" w:rsidRDefault="00423715" w:rsidP="00FB56B0">
      <w:pPr>
        <w:ind w:left="-567"/>
        <w:rPr>
          <w:rFonts w:ascii="Acumin Pro" w:eastAsia="Calibri" w:hAnsi="Acumin Pro" w:cstheme="minorHAnsi"/>
          <w:sz w:val="22"/>
          <w:szCs w:val="22"/>
        </w:rPr>
      </w:pPr>
      <w:r>
        <w:rPr>
          <w:rFonts w:ascii="Acumin Pro" w:hAnsi="Acumin Pro"/>
          <w:sz w:val="22"/>
        </w:rPr>
        <w:t>Ombudsman ayrıca, işyerlerinde ciddi bir yanlışlık olduğunu ifşa etmek isteyen veya ifşa yaparken nasıl korunacakları konusunda tavsiyeye ihtiyaç duyan kişilere de yardımcı olur. Ombudsman, yapılan açıklamaları araştırabilir veya bunları değerlendirilmek üzere 'uygun bir makama' havale edebilir.</w:t>
      </w:r>
    </w:p>
    <w:p w14:paraId="250AAFCC" w14:textId="77777777" w:rsidR="00423715" w:rsidRPr="00491622" w:rsidRDefault="00423715" w:rsidP="0001410A">
      <w:pPr>
        <w:ind w:left="-142" w:right="-568"/>
        <w:rPr>
          <w:rFonts w:ascii="Acumin Pro" w:eastAsia="Calibri" w:hAnsi="Acumin Pro" w:cstheme="minorHAnsi"/>
          <w:sz w:val="22"/>
          <w:szCs w:val="22"/>
        </w:rPr>
      </w:pPr>
      <w:r>
        <w:rPr>
          <w:rFonts w:ascii="Acumin Pro" w:hAnsi="Acumin Pro"/>
          <w:sz w:val="22"/>
        </w:rPr>
        <w:t xml:space="preserve">Ombudsman’a başvurduğunuz için başınız derde girmez. Ombudsman, sorunun çözülmesine yardımcı olmak için gerekli olmadıkça, endişenizi başka hiç kimseye anlatmamak zorundadır. </w:t>
      </w:r>
    </w:p>
    <w:p w14:paraId="2606F8BB" w14:textId="77777777" w:rsidR="00423715" w:rsidRPr="00491622" w:rsidRDefault="00423715" w:rsidP="0001410A">
      <w:pPr>
        <w:ind w:left="-142" w:right="-568"/>
        <w:rPr>
          <w:rFonts w:ascii="Acumin Pro" w:eastAsia="Calibri" w:hAnsi="Acumin Pro" w:cstheme="minorBidi"/>
          <w:sz w:val="22"/>
          <w:szCs w:val="22"/>
        </w:rPr>
      </w:pPr>
      <w:r>
        <w:rPr>
          <w:rFonts w:ascii="Acumin Pro" w:hAnsi="Acumin Pro"/>
          <w:sz w:val="22"/>
        </w:rPr>
        <w:t>Ombudsman bağımsızdır ve hukuki tavsiye vermez, avukat veya temsilci olarak hareket etmez.</w:t>
      </w:r>
    </w:p>
    <w:p w14:paraId="7480ECAE" w14:textId="77777777" w:rsidR="00423715" w:rsidRPr="00491622" w:rsidRDefault="00423715" w:rsidP="0001410A">
      <w:pPr>
        <w:ind w:left="-142" w:right="-568"/>
        <w:rPr>
          <w:rFonts w:ascii="Acumin Pro" w:eastAsia="Calibri" w:hAnsi="Acumin Pro" w:cstheme="minorHAnsi"/>
          <w:b/>
          <w:sz w:val="22"/>
          <w:szCs w:val="22"/>
        </w:rPr>
      </w:pPr>
      <w:r>
        <w:rPr>
          <w:rFonts w:ascii="Acumin Pro" w:hAnsi="Acumin Pro"/>
          <w:b/>
          <w:sz w:val="22"/>
        </w:rPr>
        <w:t>İletişim</w:t>
      </w:r>
      <w:r w:rsidRPr="00ED2618">
        <w:t xml:space="preserve"> </w:t>
      </w:r>
      <w:r w:rsidRPr="00491622">
        <w:rPr>
          <w:rFonts w:ascii="Acumin Pro" w:hAnsi="Acumin Pro"/>
          <w:b/>
          <w:sz w:val="22"/>
          <w:szCs w:val="22"/>
        </w:rPr>
        <w:br/>
      </w:r>
      <w:r w:rsidRPr="00491622">
        <w:rPr>
          <w:rFonts w:ascii="Acumin Pro" w:hAnsi="Acumin Pro"/>
          <w:sz w:val="22"/>
          <w:szCs w:val="22"/>
        </w:rPr>
        <w:t>Sorularınız varsa veya şikayette bulunmak istiyorsanız Ombudsman’a başvurabilirsiniz.</w:t>
      </w:r>
    </w:p>
    <w:p w14:paraId="1104CBBF" w14:textId="77777777" w:rsidR="00423715" w:rsidRPr="00F6520C" w:rsidRDefault="00423715" w:rsidP="0001410A">
      <w:pPr>
        <w:pStyle w:val="ListParagraph"/>
        <w:numPr>
          <w:ilvl w:val="0"/>
          <w:numId w:val="24"/>
        </w:numPr>
        <w:ind w:left="284" w:right="-568" w:hanging="426"/>
        <w:rPr>
          <w:rFonts w:ascii="Acumin Pro" w:eastAsia="Calibri" w:hAnsi="Acumin Pro" w:cstheme="minorHAnsi"/>
          <w:sz w:val="22"/>
          <w:szCs w:val="22"/>
        </w:rPr>
      </w:pPr>
      <w:r>
        <w:rPr>
          <w:rFonts w:ascii="Acumin Pro" w:hAnsi="Acumin Pro"/>
          <w:b/>
          <w:sz w:val="22"/>
        </w:rPr>
        <w:t>Ücretsiz telefon: 0800 802 602</w:t>
      </w:r>
      <w:r w:rsidRPr="00F6520C">
        <w:rPr>
          <w:rFonts w:ascii="Acumin Pro" w:hAnsi="Acumin Pro"/>
          <w:sz w:val="22"/>
          <w:szCs w:val="22"/>
        </w:rPr>
        <w:t xml:space="preserve"> </w:t>
      </w:r>
    </w:p>
    <w:p w14:paraId="00090DAC" w14:textId="77777777" w:rsidR="00423715" w:rsidRPr="00F6520C" w:rsidRDefault="00423715" w:rsidP="0001410A">
      <w:pPr>
        <w:pStyle w:val="ListParagraph"/>
        <w:numPr>
          <w:ilvl w:val="0"/>
          <w:numId w:val="24"/>
        </w:numPr>
        <w:ind w:left="284" w:right="-568" w:hanging="426"/>
        <w:rPr>
          <w:rFonts w:ascii="Acumin Pro" w:eastAsia="Calibri" w:hAnsi="Acumin Pro" w:cstheme="minorHAnsi"/>
          <w:sz w:val="22"/>
          <w:szCs w:val="22"/>
        </w:rPr>
      </w:pPr>
      <w:r>
        <w:rPr>
          <w:rFonts w:ascii="Acumin Pro" w:hAnsi="Acumin Pro"/>
          <w:b/>
          <w:sz w:val="22"/>
        </w:rPr>
        <w:t>Ombudsman'ın web sitesindeki şikayet formu aracılığıyla çevrimiçi olarak</w:t>
      </w:r>
      <w:r w:rsidRPr="00F6520C">
        <w:rPr>
          <w:rFonts w:ascii="Acumin Pro" w:hAnsi="Acumin Pro"/>
          <w:sz w:val="22"/>
          <w:szCs w:val="22"/>
          <w:u w:val="single"/>
        </w:rPr>
        <w:br/>
      </w:r>
      <w:r w:rsidRPr="00F6520C">
        <w:rPr>
          <w:rFonts w:ascii="Acumin Pro" w:hAnsi="Acumin Pro"/>
          <w:sz w:val="22"/>
          <w:szCs w:val="22"/>
        </w:rPr>
        <w:t xml:space="preserve">ziyaret edin: </w:t>
      </w:r>
      <w:hyperlink r:id="rId36" w:history="1">
        <w:r>
          <w:rPr>
            <w:rStyle w:val="Hyperlink"/>
            <w:rFonts w:ascii="Acumin Pro" w:hAnsi="Acumin Pro"/>
            <w:sz w:val="22"/>
          </w:rPr>
          <w:t>https://www.ombudsman.parliament.nz/</w:t>
        </w:r>
      </w:hyperlink>
      <w:r w:rsidRPr="00F6520C">
        <w:rPr>
          <w:rFonts w:ascii="Acumin Pro" w:hAnsi="Acumin Pro"/>
          <w:sz w:val="22"/>
          <w:szCs w:val="22"/>
        </w:rPr>
        <w:t xml:space="preserve"> ve 'Yardım al (halk için)' seçeneğine tıklayın</w:t>
      </w:r>
    </w:p>
    <w:p w14:paraId="765E2432" w14:textId="77777777" w:rsidR="00423715" w:rsidRPr="00F6520C" w:rsidRDefault="00423715" w:rsidP="0001410A">
      <w:pPr>
        <w:pStyle w:val="ListParagraph"/>
        <w:numPr>
          <w:ilvl w:val="0"/>
          <w:numId w:val="24"/>
        </w:numPr>
        <w:ind w:left="284" w:right="-568" w:hanging="426"/>
        <w:rPr>
          <w:rFonts w:ascii="Acumin Pro" w:eastAsia="Calibri" w:hAnsi="Acumin Pro" w:cstheme="minorHAnsi"/>
          <w:sz w:val="22"/>
          <w:szCs w:val="22"/>
          <w:u w:val="single"/>
        </w:rPr>
      </w:pPr>
      <w:r>
        <w:rPr>
          <w:rFonts w:ascii="Acumin Pro" w:hAnsi="Acumin Pro"/>
          <w:b/>
          <w:sz w:val="22"/>
        </w:rPr>
        <w:t xml:space="preserve">E-posta: </w:t>
      </w:r>
      <w:hyperlink r:id="rId37" w:history="1">
        <w:r>
          <w:rPr>
            <w:rStyle w:val="Hyperlink"/>
            <w:rFonts w:ascii="Acumin Pro" w:hAnsi="Acumin Pro"/>
            <w:b/>
            <w:sz w:val="22"/>
          </w:rPr>
          <w:t>info@ombudsman.parliament.nz</w:t>
        </w:r>
      </w:hyperlink>
    </w:p>
    <w:p w14:paraId="149F9285" w14:textId="77777777" w:rsidR="00423715" w:rsidRPr="00F6520C" w:rsidRDefault="00423715" w:rsidP="0001410A">
      <w:pPr>
        <w:pStyle w:val="ListParagraph"/>
        <w:numPr>
          <w:ilvl w:val="0"/>
          <w:numId w:val="24"/>
        </w:numPr>
        <w:ind w:left="284" w:right="-568" w:hanging="426"/>
        <w:rPr>
          <w:rFonts w:ascii="Acumin Pro" w:eastAsia="Calibri" w:hAnsi="Acumin Pro" w:cstheme="minorHAnsi"/>
          <w:sz w:val="22"/>
          <w:szCs w:val="22"/>
        </w:rPr>
      </w:pPr>
      <w:r>
        <w:rPr>
          <w:rFonts w:ascii="Acumin Pro" w:hAnsi="Acumin Pro"/>
          <w:b/>
          <w:sz w:val="22"/>
        </w:rPr>
        <w:t>Posta: Ombudsman, PO Box 10152, Wellington 6143</w:t>
      </w:r>
    </w:p>
    <w:p w14:paraId="48C4BF46" w14:textId="32298DD7" w:rsidR="00423715" w:rsidRDefault="00423715" w:rsidP="0001410A">
      <w:pPr>
        <w:spacing w:line="276" w:lineRule="auto"/>
        <w:ind w:left="-142" w:right="-426"/>
        <w:rPr>
          <w:rFonts w:ascii="Acumin Pro" w:eastAsia="Calibri" w:hAnsi="Acumin Pro" w:cs="Calibri"/>
          <w:b/>
          <w:bCs/>
          <w:sz w:val="22"/>
          <w:szCs w:val="22"/>
        </w:rPr>
      </w:pPr>
      <w:r>
        <w:rPr>
          <w:rFonts w:ascii="Acumin Pro" w:hAnsi="Acumin Pro"/>
          <w:sz w:val="22"/>
          <w:szCs w:val="22"/>
        </w:rPr>
        <w:br/>
      </w:r>
      <w:hyperlink r:id="rId38" w:history="1">
        <w:r>
          <w:rPr>
            <w:rStyle w:val="Hyperlink"/>
            <w:rFonts w:ascii="Acumin Pro" w:hAnsi="Acumin Pro"/>
            <w:sz w:val="22"/>
          </w:rPr>
          <w:t>Ombudsman web sitesinde</w:t>
        </w:r>
      </w:hyperlink>
      <w:r w:rsidR="007B2118">
        <w:t xml:space="preserve"> </w:t>
      </w:r>
      <w:r>
        <w:rPr>
          <w:rFonts w:ascii="Acumin Pro" w:hAnsi="Acumin Pro"/>
          <w:sz w:val="22"/>
        </w:rPr>
        <w:t>çeşitli dillerde ve formatlarda bir dizi yararlı kaynak ve yayına yer verilmektedir.</w:t>
      </w:r>
      <w:bookmarkEnd w:id="4"/>
    </w:p>
    <w:bookmarkEnd w:id="3"/>
    <w:p w14:paraId="3EEABACB" w14:textId="77777777" w:rsidR="00423715" w:rsidRDefault="00423715" w:rsidP="00423715">
      <w:pPr>
        <w:spacing w:line="276" w:lineRule="auto"/>
        <w:rPr>
          <w:rFonts w:ascii="Acumin Pro" w:eastAsia="Calibri" w:hAnsi="Acumin Pro" w:cs="Calibr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4E0CD9D5" w14:textId="77777777" w:rsidR="00423715" w:rsidRDefault="00423715" w:rsidP="00423715">
      <w:pPr>
        <w:spacing w:line="276" w:lineRule="auto"/>
        <w:rPr>
          <w:rFonts w:ascii="Acumin Pro" w:eastAsia="Calibri" w:hAnsi="Acumin Pro" w:cs="Calibri"/>
          <w:b/>
          <w:bCs/>
          <w:sz w:val="22"/>
          <w:szCs w:val="22"/>
        </w:rPr>
      </w:pPr>
    </w:p>
    <w:p w14:paraId="5E0DA348" w14:textId="77777777" w:rsidR="00423715" w:rsidRPr="004F15AF" w:rsidRDefault="00423715" w:rsidP="00423715">
      <w:pPr>
        <w:spacing w:line="276" w:lineRule="auto"/>
        <w:rPr>
          <w:rFonts w:ascii="Acumin Pro" w:hAnsi="Acumin Pro" w:cs="Arial"/>
          <w:kern w:val="32"/>
          <w:sz w:val="22"/>
          <w:szCs w:val="22"/>
        </w:rPr>
        <w:sectPr w:rsidR="00423715" w:rsidRPr="004F15AF" w:rsidSect="00423715">
          <w:type w:val="continuous"/>
          <w:pgSz w:w="11907" w:h="16840" w:code="9"/>
          <w:pgMar w:top="1418" w:right="1418" w:bottom="992" w:left="1418" w:header="425" w:footer="635" w:gutter="0"/>
          <w:cols w:space="708"/>
          <w:titlePg/>
          <w:docGrid w:linePitch="360"/>
        </w:sectPr>
      </w:pPr>
    </w:p>
    <w:p w14:paraId="4C3DF85E" w14:textId="77777777" w:rsidR="00423715" w:rsidRDefault="00423715" w:rsidP="00423715">
      <w:pPr>
        <w:keepLines w:val="0"/>
        <w:rPr>
          <w:rFonts w:ascii="Acumin Pro" w:hAnsi="Acumin Pro"/>
          <w:sz w:val="22"/>
          <w:szCs w:val="22"/>
        </w:rPr>
      </w:pPr>
    </w:p>
    <w:p w14:paraId="19DB8B97" w14:textId="42E30081" w:rsidR="00E34170" w:rsidRPr="00423715" w:rsidRDefault="00E34170" w:rsidP="00423715"/>
    <w:sectPr w:rsidR="00E34170" w:rsidRPr="00423715" w:rsidSect="00BC7D0B">
      <w:footerReference w:type="default" r:id="rId39"/>
      <w:headerReference w:type="first" r:id="rId40"/>
      <w:footerReference w:type="first" r:id="rId41"/>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CF84" w14:textId="77777777" w:rsidR="005F7C4E" w:rsidRDefault="005F7C4E">
      <w:r>
        <w:separator/>
      </w:r>
    </w:p>
    <w:p w14:paraId="0AFD007B" w14:textId="77777777" w:rsidR="005F7C4E" w:rsidRDefault="005F7C4E"/>
    <w:p w14:paraId="27081606" w14:textId="77777777" w:rsidR="005F7C4E" w:rsidRDefault="005F7C4E"/>
  </w:endnote>
  <w:endnote w:type="continuationSeparator" w:id="0">
    <w:p w14:paraId="7D77A1C6" w14:textId="77777777" w:rsidR="005F7C4E" w:rsidRDefault="005F7C4E">
      <w:r>
        <w:continuationSeparator/>
      </w:r>
    </w:p>
    <w:p w14:paraId="71862DA0" w14:textId="77777777" w:rsidR="005F7C4E" w:rsidRDefault="005F7C4E"/>
    <w:p w14:paraId="43914757" w14:textId="77777777" w:rsidR="005F7C4E" w:rsidRDefault="005F7C4E"/>
  </w:endnote>
  <w:endnote w:type="continuationNotice" w:id="1">
    <w:p w14:paraId="1120AF32" w14:textId="77777777" w:rsidR="005F7C4E" w:rsidRDefault="005F7C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2B887024" w:rsidR="00423715" w:rsidRPr="00FB56B0" w:rsidRDefault="00423715" w:rsidP="00FB56B0">
    <w:pPr>
      <w:pStyle w:val="Footer"/>
      <w:jc w:val="center"/>
      <w:rPr>
        <w:rFonts w:ascii="Acumin Pro" w:hAnsi="Acumin Pro"/>
        <w:i w:val="0"/>
        <w:iCs/>
        <w:sz w:val="22"/>
        <w:szCs w:val="22"/>
      </w:rPr>
    </w:pPr>
    <w:r>
      <w:rPr>
        <w:rFonts w:ascii="Acumin Pro" w:hAnsi="Acumin Pro"/>
        <w:b/>
        <w:i w:val="0"/>
        <w:sz w:val="22"/>
      </w:rPr>
      <w:t>Yeni Zelanda Devlet kurumları hakkında bilgi</w:t>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587A1EA9" w:rsidR="00423715" w:rsidRPr="00ED2618" w:rsidRDefault="00423715" w:rsidP="00ED2618">
    <w:pPr>
      <w:pStyle w:val="Footer"/>
      <w:jc w:val="center"/>
      <w:rPr>
        <w:rFonts w:ascii="Acumin Pro" w:hAnsi="Acumin Pro"/>
        <w:i w:val="0"/>
        <w:iCs/>
        <w:sz w:val="22"/>
        <w:szCs w:val="22"/>
      </w:rPr>
    </w:pPr>
    <w:r>
      <w:rPr>
        <w:rFonts w:ascii="Acumin Pro" w:hAnsi="Acumin Pro"/>
        <w:b/>
        <w:i w:val="0"/>
        <w:sz w:val="22"/>
      </w:rPr>
      <w:t>Yeni Zelanda Devlet kurumları hakkında bilgi</w:t>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i w:val="0"/>
        <w:sz w:val="22"/>
      </w:rPr>
      <w:t xml:space="preserve">Yeni </w:t>
    </w:r>
    <w:r>
      <w:rPr>
        <w:rFonts w:ascii="Acumin Pro" w:hAnsi="Acumin Pro"/>
        <w:b/>
        <w:i w:val="0"/>
        <w:sz w:val="22"/>
      </w:rPr>
      <w:t>Zelanda Devlet kurumları hakkında bilgi</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i w:val="0"/>
        <w:sz w:val="22"/>
      </w:rPr>
      <w:t xml:space="preserve">Yeni </w:t>
    </w:r>
    <w:r>
      <w:rPr>
        <w:rFonts w:ascii="Acumin Pro" w:hAnsi="Acumin Pro"/>
        <w:b/>
        <w:i w:val="0"/>
        <w:sz w:val="22"/>
      </w:rPr>
      <w:t>Zelanda Devlet kurumları hakkında bilgi</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E165" w14:textId="77777777" w:rsidR="005F7C4E" w:rsidRDefault="005F7C4E" w:rsidP="00FB1990">
      <w:pPr>
        <w:pStyle w:val="Spacer"/>
      </w:pPr>
      <w:r>
        <w:separator/>
      </w:r>
    </w:p>
    <w:p w14:paraId="58EBA60C" w14:textId="77777777" w:rsidR="005F7C4E" w:rsidRDefault="005F7C4E" w:rsidP="00FB1990">
      <w:pPr>
        <w:pStyle w:val="Spacer"/>
      </w:pPr>
    </w:p>
  </w:footnote>
  <w:footnote w:type="continuationSeparator" w:id="0">
    <w:p w14:paraId="43D71515" w14:textId="77777777" w:rsidR="005F7C4E" w:rsidRDefault="005F7C4E">
      <w:r>
        <w:continuationSeparator/>
      </w:r>
    </w:p>
    <w:p w14:paraId="2D50A68A" w14:textId="77777777" w:rsidR="005F7C4E" w:rsidRDefault="005F7C4E"/>
    <w:p w14:paraId="0A11C2CB" w14:textId="77777777" w:rsidR="005F7C4E" w:rsidRDefault="005F7C4E"/>
  </w:footnote>
  <w:footnote w:type="continuationNotice" w:id="1">
    <w:p w14:paraId="242B7E5F" w14:textId="77777777" w:rsidR="005F7C4E" w:rsidRDefault="005F7C4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10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0928"/>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16806"/>
    <w:rsid w:val="00121870"/>
    <w:rsid w:val="00125AED"/>
    <w:rsid w:val="00126D20"/>
    <w:rsid w:val="00126FDE"/>
    <w:rsid w:val="00127352"/>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3D0D"/>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45"/>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38E"/>
    <w:rsid w:val="003B3A23"/>
    <w:rsid w:val="003B3B89"/>
    <w:rsid w:val="003B6592"/>
    <w:rsid w:val="003B716B"/>
    <w:rsid w:val="003C1D98"/>
    <w:rsid w:val="003C75FE"/>
    <w:rsid w:val="003C772C"/>
    <w:rsid w:val="003D0148"/>
    <w:rsid w:val="003D5A20"/>
    <w:rsid w:val="003F0A59"/>
    <w:rsid w:val="003F1456"/>
    <w:rsid w:val="003F1FCD"/>
    <w:rsid w:val="003F2B58"/>
    <w:rsid w:val="003F5886"/>
    <w:rsid w:val="003F7DA7"/>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3EF0"/>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C4E"/>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4D11"/>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03BD"/>
    <w:rsid w:val="007A6226"/>
    <w:rsid w:val="007B2118"/>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4F66"/>
    <w:rsid w:val="007E5ADA"/>
    <w:rsid w:val="007F03F2"/>
    <w:rsid w:val="007F04A4"/>
    <w:rsid w:val="007F5258"/>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0EC"/>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9F442B"/>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927"/>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3763"/>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6D8"/>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6A23"/>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13AD"/>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6B0"/>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E7C6E"/>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tr-TR"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tr-TR"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tr-TR"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tr-TR"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tr-TR"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tr-TR"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tr-TR"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tr-TR"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tr-TR"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tr-TR"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tr-TR" w:eastAsia="en-US"/>
    </w:rPr>
  </w:style>
  <w:style w:type="character" w:customStyle="1" w:styleId="FooterChar">
    <w:name w:val="Footer Char"/>
    <w:basedOn w:val="DefaultParagraphFont"/>
    <w:link w:val="Footer"/>
    <w:uiPriority w:val="99"/>
    <w:rsid w:val="00065F18"/>
    <w:rPr>
      <w:rFonts w:eastAsiaTheme="minorHAnsi"/>
      <w:i/>
      <w:sz w:val="20"/>
      <w:lang w:val="tr-TR"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tr-TR"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tr-TR"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tr-TR"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tr-TR"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footer" Target="footer3.xml"/><Relationship Id="rId21" Type="http://schemas.openxmlformats.org/officeDocument/2006/relationships/hyperlink" Target="tel:0800%20555%20111" TargetMode="External"/><Relationship Id="rId34" Type="http://schemas.openxmlformats.org/officeDocument/2006/relationships/hyperlink" Target="https://tikatangata.org.nz/our-work/human-rights-questions-and-complaints-were-here-to-hel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5.jpeg"/><Relationship Id="rId37" Type="http://schemas.openxmlformats.org/officeDocument/2006/relationships/hyperlink" Target="mailto:info@ombudsman.parliament.nz"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hyperlink" Target="http://www.ownyouronline.govt.nz/" TargetMode="External"/><Relationship Id="rId36" Type="http://schemas.openxmlformats.org/officeDocument/2006/relationships/hyperlink" Target="https://www.ombudsman.parliament.nz/"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crimestoppers-nz.org/" TargetMode="External"/><Relationship Id="rId27" Type="http://schemas.openxmlformats.org/officeDocument/2006/relationships/image" Target="media/image4.png"/><Relationship Id="rId30" Type="http://schemas.openxmlformats.org/officeDocument/2006/relationships/hyperlink" Target="https://www.ncsc.govt.nz/" TargetMode="External"/><Relationship Id="rId35" Type="http://schemas.openxmlformats.org/officeDocument/2006/relationships/image" Target="media/image6.jpe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hyperlink" Target="https://tikatangata.org.nz/resources-and-support/make-a-complaint" TargetMode="External"/><Relationship Id="rId38"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ZHNFQZVQ3Y4V-1257920297-5625</_dlc_DocId>
    <_dlc_DocIdUrl xmlns="f241499f-97c4-44af-badf-d067f056cf3c">
      <Url>https://azurediagovt.sharepoint.com/sites/ECMS-CMT-ETC-PLM-PLI-FI/_layouts/15/DocIdRedir.aspx?ID=ZHNFQZVQ3Y4V-1257920297-5625</Url>
      <Description>ZHNFQZVQ3Y4V-1257920297-5625</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FD42A-F096-49E4-88DE-10B20515E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4C658818-FF4E-49D5-9CC9-04034152AECA}">
  <ds:schemaRefs>
    <ds:schemaRef ds:uri="http://schemas.microsoft.com/sharepoint/events"/>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72BEF620-2356-4E8B-9364-CF714834F350}">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www.w3.org/XML/1998/namespace"/>
    <ds:schemaRef ds:uri="f241499f-97c4-44af-badf-d067f056cf3c"/>
    <ds:schemaRef ds:uri="http://schemas.openxmlformats.org/package/2006/metadata/core-properties"/>
    <ds:schemaRef ds:uri="http://schemas.microsoft.com/office/infopath/2007/PartnerControls"/>
    <ds:schemaRef ds:uri="11cc6b14-7fce-430e-b961-eeb3627faed4"/>
    <ds:schemaRef ds:uri="5750afb1-007a-481a-96df-a71c539b9a3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1531</Words>
  <Characters>12712</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14215</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10</cp:revision>
  <cp:lastPrinted>2024-11-15T10:40:00Z</cp:lastPrinted>
  <dcterms:created xsi:type="dcterms:W3CDTF">2025-07-01T09:33:00Z</dcterms:created>
  <dcterms:modified xsi:type="dcterms:W3CDTF">2025-08-26T02:40:00Z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65b45b1a-6c33-4d1d-ad4c-581d497c85f8</vt:lpwstr>
  </property>
</Properties>
</file>